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A0" w:rsidRDefault="007910A0" w:rsidP="0015645B">
      <w:pPr>
        <w:ind w:left="567" w:right="567"/>
        <w:rPr>
          <w:rFonts w:ascii="Arial" w:hAnsi="Arial"/>
          <w:b/>
          <w:sz w:val="22"/>
        </w:rPr>
      </w:pPr>
      <w:r>
        <w:rPr>
          <w:rFonts w:ascii="Arial" w:hAnsi="Arial"/>
          <w:b/>
          <w:sz w:val="22"/>
        </w:rPr>
        <w:t>Kanton Basel-Landschaft</w:t>
      </w:r>
    </w:p>
    <w:p w:rsidR="007910A0" w:rsidRDefault="007910A0" w:rsidP="0015645B">
      <w:pPr>
        <w:tabs>
          <w:tab w:val="left" w:pos="4111"/>
        </w:tabs>
        <w:ind w:left="567" w:right="567"/>
        <w:rPr>
          <w:rFonts w:ascii="Arial" w:hAnsi="Arial"/>
          <w:sz w:val="22"/>
        </w:rPr>
      </w:pPr>
      <w:r>
        <w:rPr>
          <w:rFonts w:ascii="Arial" w:hAnsi="Arial"/>
          <w:b/>
          <w:sz w:val="22"/>
        </w:rPr>
        <w:t>Gemeinde</w:t>
      </w:r>
      <w:r w:rsidR="00AB0494">
        <w:rPr>
          <w:rFonts w:ascii="Arial" w:hAnsi="Arial"/>
          <w:b/>
          <w:sz w:val="22"/>
        </w:rPr>
        <w:t xml:space="preserve"> …</w:t>
      </w:r>
    </w:p>
    <w:p w:rsidR="007910A0" w:rsidRDefault="007910A0" w:rsidP="0015645B">
      <w:pPr>
        <w:tabs>
          <w:tab w:val="left" w:pos="4111"/>
        </w:tabs>
        <w:ind w:left="567" w:right="567"/>
        <w:rPr>
          <w:rFonts w:ascii="Arial" w:hAnsi="Arial"/>
          <w:sz w:val="22"/>
        </w:rPr>
      </w:pPr>
    </w:p>
    <w:p w:rsidR="007910A0" w:rsidRDefault="007910A0" w:rsidP="0015645B">
      <w:pPr>
        <w:tabs>
          <w:tab w:val="left" w:pos="4111"/>
        </w:tabs>
        <w:ind w:left="567" w:right="567"/>
        <w:rPr>
          <w:rFonts w:ascii="Arial" w:hAnsi="Arial"/>
          <w:sz w:val="22"/>
        </w:rPr>
      </w:pPr>
    </w:p>
    <w:p w:rsidR="007910A0" w:rsidRDefault="007910A0" w:rsidP="0015645B">
      <w:pPr>
        <w:tabs>
          <w:tab w:val="left" w:pos="4111"/>
        </w:tabs>
        <w:ind w:left="567" w:right="567"/>
        <w:rPr>
          <w:rFonts w:ascii="Arial" w:hAnsi="Arial"/>
          <w:sz w:val="22"/>
        </w:rPr>
      </w:pPr>
    </w:p>
    <w:p w:rsidR="007910A0" w:rsidRDefault="007910A0" w:rsidP="0015645B">
      <w:pPr>
        <w:tabs>
          <w:tab w:val="left" w:pos="4111"/>
        </w:tabs>
        <w:ind w:left="567" w:right="567"/>
        <w:rPr>
          <w:rFonts w:ascii="Arial" w:hAnsi="Arial"/>
          <w:sz w:val="22"/>
        </w:rPr>
      </w:pPr>
    </w:p>
    <w:p w:rsidR="007910A0" w:rsidRDefault="00616E3B" w:rsidP="0015645B">
      <w:pPr>
        <w:tabs>
          <w:tab w:val="left" w:pos="4536"/>
          <w:tab w:val="left" w:pos="9639"/>
        </w:tabs>
        <w:ind w:left="567" w:right="567"/>
        <w:rPr>
          <w:rFonts w:ascii="Arial" w:hAnsi="Arial"/>
          <w:b/>
          <w:sz w:val="32"/>
        </w:rPr>
      </w:pPr>
      <w:r>
        <w:rPr>
          <w:rFonts w:ascii="Arial" w:hAnsi="Arial"/>
          <w:b/>
          <w:sz w:val="36"/>
        </w:rPr>
        <w:t>Quartierplanreglement</w:t>
      </w:r>
      <w:r w:rsidR="007910A0">
        <w:rPr>
          <w:rFonts w:ascii="Arial" w:hAnsi="Arial"/>
          <w:b/>
          <w:sz w:val="36"/>
        </w:rPr>
        <w:t xml:space="preserve"> </w:t>
      </w:r>
      <w:r w:rsidR="00912A6D">
        <w:rPr>
          <w:rFonts w:ascii="Arial" w:hAnsi="Arial"/>
          <w:b/>
          <w:sz w:val="36"/>
        </w:rPr>
        <w:t>„</w:t>
      </w:r>
      <w:r>
        <w:rPr>
          <w:rFonts w:ascii="Arial" w:hAnsi="Arial"/>
          <w:b/>
          <w:sz w:val="36"/>
        </w:rPr>
        <w:t>…</w:t>
      </w:r>
      <w:r w:rsidR="00912A6D">
        <w:rPr>
          <w:rFonts w:ascii="Arial" w:hAnsi="Arial"/>
          <w:b/>
          <w:sz w:val="36"/>
        </w:rPr>
        <w:t>“</w:t>
      </w:r>
    </w:p>
    <w:p w:rsidR="007910A0" w:rsidRDefault="007910A0" w:rsidP="0015645B">
      <w:pPr>
        <w:ind w:left="567" w:right="567"/>
        <w:rPr>
          <w:rFonts w:ascii="Arial" w:hAnsi="Arial"/>
          <w:sz w:val="22"/>
        </w:rPr>
      </w:pPr>
    </w:p>
    <w:p w:rsidR="007910A0" w:rsidRDefault="007910A0" w:rsidP="0015645B">
      <w:pPr>
        <w:ind w:left="567" w:right="567"/>
        <w:rPr>
          <w:rFonts w:ascii="Arial" w:hAnsi="Arial"/>
          <w:sz w:val="22"/>
        </w:rPr>
      </w:pPr>
    </w:p>
    <w:p w:rsidR="007910A0" w:rsidRDefault="007910A0" w:rsidP="0015645B">
      <w:pPr>
        <w:ind w:left="567" w:right="567"/>
        <w:rPr>
          <w:rFonts w:ascii="Arial" w:hAnsi="Arial"/>
          <w:sz w:val="22"/>
        </w:rPr>
      </w:pPr>
    </w:p>
    <w:p w:rsidR="007910A0" w:rsidRDefault="007910A0" w:rsidP="0015645B">
      <w:pPr>
        <w:ind w:left="567" w:right="567"/>
        <w:rPr>
          <w:rFonts w:ascii="Arial" w:hAnsi="Arial"/>
          <w:sz w:val="22"/>
        </w:rPr>
      </w:pPr>
    </w:p>
    <w:p w:rsidR="007910A0" w:rsidRDefault="007910A0" w:rsidP="0015645B">
      <w:pPr>
        <w:ind w:left="567" w:right="567"/>
        <w:rPr>
          <w:rFonts w:ascii="Arial" w:hAnsi="Arial"/>
          <w:sz w:val="22"/>
        </w:rPr>
      </w:pPr>
    </w:p>
    <w:p w:rsidR="007910A0" w:rsidRDefault="00C97E7F" w:rsidP="0015645B">
      <w:pPr>
        <w:ind w:left="567" w:right="567"/>
        <w:rPr>
          <w:rFonts w:ascii="Arial" w:hAnsi="Arial"/>
          <w:sz w:val="22"/>
        </w:rPr>
      </w:pPr>
      <w:r>
        <w:rPr>
          <w:rFonts w:ascii="Arial" w:hAnsi="Arial"/>
          <w:noProof/>
          <w:sz w:val="22"/>
        </w:rPr>
        <w:pict>
          <v:line id="_x0000_s1027" style="position:absolute;left:0;text-align:left;z-index:251650048" from="29.7pt,1.65pt" to="475.85pt,1.65pt" o:allowincell="f" strokeweight=".25pt"/>
        </w:pict>
      </w:r>
    </w:p>
    <w:p w:rsidR="007910A0" w:rsidRDefault="007910A0" w:rsidP="0015645B">
      <w:pPr>
        <w:ind w:left="567" w:right="567"/>
        <w:rPr>
          <w:rFonts w:ascii="Arial" w:hAnsi="Arial"/>
          <w:sz w:val="22"/>
        </w:rPr>
      </w:pPr>
    </w:p>
    <w:p w:rsidR="007910A0" w:rsidRDefault="007910A0" w:rsidP="0032319A">
      <w:pPr>
        <w:tabs>
          <w:tab w:val="left" w:pos="5954"/>
          <w:tab w:val="left" w:pos="6521"/>
        </w:tabs>
        <w:spacing w:after="40"/>
        <w:ind w:left="567" w:right="567"/>
        <w:rPr>
          <w:rFonts w:ascii="Arial" w:hAnsi="Arial"/>
          <w:sz w:val="22"/>
        </w:rPr>
      </w:pPr>
      <w:r>
        <w:rPr>
          <w:rFonts w:ascii="Arial" w:hAnsi="Arial"/>
          <w:sz w:val="22"/>
        </w:rPr>
        <w:t>Exemplar</w:t>
      </w:r>
      <w:r>
        <w:rPr>
          <w:rFonts w:ascii="Arial" w:hAnsi="Arial"/>
          <w:sz w:val="22"/>
        </w:rPr>
        <w:tab/>
        <w:t>Inventar-Nr.</w:t>
      </w:r>
    </w:p>
    <w:p w:rsidR="007910A0" w:rsidRDefault="00C97E7F" w:rsidP="0015645B">
      <w:pPr>
        <w:tabs>
          <w:tab w:val="left" w:pos="6521"/>
        </w:tabs>
        <w:ind w:left="567" w:right="567"/>
        <w:rPr>
          <w:rFonts w:ascii="Arial" w:hAnsi="Arial"/>
          <w:sz w:val="22"/>
        </w:rPr>
      </w:pPr>
      <w:r>
        <w:rPr>
          <w:rFonts w:ascii="Arial" w:hAnsi="Arial"/>
          <w:noProof/>
          <w:sz w:val="22"/>
        </w:rPr>
        <w:pict>
          <v:line id="_x0000_s1026" style="position:absolute;left:0;text-align:left;z-index:251649024" from="29.7pt,5.15pt" to="475.85pt,5.15pt" o:allowincell="f" strokeweight=".5pt"/>
        </w:pict>
      </w:r>
    </w:p>
    <w:p w:rsidR="007910A0" w:rsidRDefault="00C97E7F" w:rsidP="0015645B">
      <w:pPr>
        <w:tabs>
          <w:tab w:val="left" w:pos="6521"/>
        </w:tabs>
        <w:spacing w:after="40"/>
        <w:ind w:left="567" w:right="567"/>
        <w:rPr>
          <w:rFonts w:ascii="Arial" w:hAnsi="Arial"/>
          <w:sz w:val="22"/>
        </w:rPr>
      </w:pPr>
      <w:r>
        <w:rPr>
          <w:rFonts w:ascii="Arial" w:hAnsi="Arial"/>
          <w:noProof/>
          <w:sz w:val="22"/>
        </w:rPr>
        <w:pict>
          <v:line id="_x0000_s1030" style="position:absolute;left:0;text-align:left;z-index:251652096" from="245.45pt,8.65pt" to="475.85pt,8.65pt" o:allowincell="f" strokeweight=".25pt"/>
        </w:pict>
      </w:r>
      <w:r w:rsidR="007910A0">
        <w:rPr>
          <w:rFonts w:ascii="Arial" w:hAnsi="Arial"/>
          <w:sz w:val="22"/>
        </w:rPr>
        <w:t>Beschluss des Gemeinderates:</w:t>
      </w:r>
    </w:p>
    <w:p w:rsidR="007910A0" w:rsidRDefault="00C97E7F" w:rsidP="0015645B">
      <w:pPr>
        <w:tabs>
          <w:tab w:val="left" w:pos="6521"/>
        </w:tabs>
        <w:spacing w:after="40"/>
        <w:ind w:left="567" w:right="567"/>
        <w:rPr>
          <w:rFonts w:ascii="Arial" w:hAnsi="Arial"/>
          <w:sz w:val="22"/>
        </w:rPr>
      </w:pPr>
      <w:r>
        <w:rPr>
          <w:rFonts w:ascii="Arial" w:hAnsi="Arial"/>
          <w:noProof/>
          <w:sz w:val="22"/>
        </w:rPr>
        <w:pict>
          <v:line id="_x0000_s1032" style="position:absolute;left:0;text-align:left;z-index:251654144" from="245.45pt,10.15pt" to="475.85pt,10.15pt" o:allowincell="f" strokeweight=".25pt"/>
        </w:pict>
      </w:r>
      <w:r w:rsidR="007910A0">
        <w:rPr>
          <w:rFonts w:ascii="Arial" w:hAnsi="Arial"/>
          <w:sz w:val="22"/>
        </w:rPr>
        <w:t>Beschluss der Gemeindeversammlung:</w:t>
      </w:r>
    </w:p>
    <w:p w:rsidR="007910A0" w:rsidRDefault="00C97E7F" w:rsidP="0015645B">
      <w:pPr>
        <w:tabs>
          <w:tab w:val="left" w:pos="6521"/>
        </w:tabs>
        <w:spacing w:after="40"/>
        <w:ind w:left="567" w:right="567"/>
        <w:rPr>
          <w:rFonts w:ascii="Arial" w:hAnsi="Arial"/>
          <w:sz w:val="22"/>
        </w:rPr>
      </w:pPr>
      <w:r>
        <w:rPr>
          <w:rFonts w:ascii="Arial" w:hAnsi="Arial"/>
          <w:noProof/>
          <w:sz w:val="22"/>
        </w:rPr>
        <w:pict>
          <v:line id="_x0000_s1036" style="position:absolute;left:0;text-align:left;z-index:251658240" from="245.45pt,43.05pt" to="475.85pt,43.05pt" o:allowincell="f" strokeweight=".25pt"/>
        </w:pict>
      </w:r>
      <w:r>
        <w:rPr>
          <w:rFonts w:ascii="Arial" w:hAnsi="Arial"/>
          <w:noProof/>
          <w:sz w:val="22"/>
        </w:rPr>
        <w:pict>
          <v:line id="_x0000_s1037" style="position:absolute;left:0;text-align:left;z-index:251659264" from="245.45pt,57.45pt" to="475.85pt,57.45pt" o:allowincell="f" strokeweight=".25pt"/>
        </w:pict>
      </w:r>
      <w:r>
        <w:rPr>
          <w:rFonts w:ascii="Arial" w:hAnsi="Arial"/>
          <w:noProof/>
          <w:sz w:val="22"/>
        </w:rPr>
        <w:pict>
          <v:line id="_x0000_s1034" style="position:absolute;left:0;text-align:left;z-index:251656192" from="245.45pt,11.65pt" to="475.85pt,11.65pt" o:allowincell="f" strokeweight=".25pt"/>
        </w:pict>
      </w:r>
      <w:r w:rsidR="007910A0">
        <w:rPr>
          <w:rFonts w:ascii="Arial" w:hAnsi="Arial"/>
          <w:sz w:val="22"/>
        </w:rPr>
        <w:t>Referendumsfrist:</w:t>
      </w:r>
    </w:p>
    <w:p w:rsidR="007910A0" w:rsidRDefault="00C97E7F" w:rsidP="0015645B">
      <w:pPr>
        <w:tabs>
          <w:tab w:val="left" w:pos="6521"/>
        </w:tabs>
        <w:spacing w:after="40"/>
        <w:ind w:left="567" w:right="567"/>
        <w:rPr>
          <w:rFonts w:ascii="Arial" w:hAnsi="Arial"/>
          <w:sz w:val="22"/>
        </w:rPr>
      </w:pPr>
      <w:r>
        <w:rPr>
          <w:rFonts w:ascii="Arial" w:hAnsi="Arial"/>
          <w:noProof/>
          <w:sz w:val="22"/>
        </w:rPr>
        <w:pict>
          <v:line id="_x0000_s1035" style="position:absolute;left:0;text-align:left;z-index:251657216" from="245.45pt,12.4pt" to="475.85pt,12.4pt" o:allowincell="f" strokeweight=".25pt"/>
        </w:pict>
      </w:r>
      <w:r w:rsidR="007910A0">
        <w:rPr>
          <w:rFonts w:ascii="Arial" w:hAnsi="Arial"/>
          <w:sz w:val="22"/>
        </w:rPr>
        <w:t>Urnenabstimmung:</w:t>
      </w:r>
    </w:p>
    <w:p w:rsidR="007910A0" w:rsidRDefault="007910A0" w:rsidP="0015645B">
      <w:pPr>
        <w:tabs>
          <w:tab w:val="left" w:pos="5954"/>
          <w:tab w:val="left" w:pos="6521"/>
        </w:tabs>
        <w:spacing w:after="40"/>
        <w:ind w:left="567" w:right="567"/>
        <w:rPr>
          <w:rFonts w:ascii="Arial" w:hAnsi="Arial"/>
          <w:sz w:val="22"/>
        </w:rPr>
      </w:pPr>
      <w:r>
        <w:rPr>
          <w:rFonts w:ascii="Arial" w:hAnsi="Arial"/>
          <w:sz w:val="22"/>
        </w:rPr>
        <w:t>Publikation der Pl</w:t>
      </w:r>
      <w:r w:rsidR="0032319A">
        <w:rPr>
          <w:rFonts w:ascii="Arial" w:hAnsi="Arial"/>
          <w:sz w:val="22"/>
        </w:rPr>
        <w:t xml:space="preserve">anauflage im Amtsblatt Nr. </w:t>
      </w:r>
      <w:r w:rsidR="0032319A">
        <w:rPr>
          <w:rFonts w:ascii="Arial" w:hAnsi="Arial"/>
          <w:sz w:val="22"/>
        </w:rPr>
        <w:tab/>
        <w:t>vom</w:t>
      </w:r>
    </w:p>
    <w:p w:rsidR="007910A0" w:rsidRDefault="007910A0" w:rsidP="0015645B">
      <w:pPr>
        <w:tabs>
          <w:tab w:val="left" w:pos="6521"/>
        </w:tabs>
        <w:spacing w:after="40"/>
        <w:ind w:left="567" w:right="567"/>
        <w:rPr>
          <w:rFonts w:ascii="Arial" w:hAnsi="Arial"/>
          <w:sz w:val="22"/>
        </w:rPr>
      </w:pPr>
      <w:r>
        <w:rPr>
          <w:rFonts w:ascii="Arial" w:hAnsi="Arial"/>
          <w:sz w:val="22"/>
        </w:rPr>
        <w:t>Planauflage:</w:t>
      </w:r>
    </w:p>
    <w:p w:rsidR="007910A0" w:rsidRDefault="007910A0" w:rsidP="0015645B">
      <w:pPr>
        <w:tabs>
          <w:tab w:val="left" w:pos="6521"/>
        </w:tabs>
        <w:ind w:left="567" w:right="567"/>
        <w:rPr>
          <w:rFonts w:ascii="Arial" w:hAnsi="Arial"/>
          <w:sz w:val="22"/>
        </w:rPr>
      </w:pPr>
    </w:p>
    <w:p w:rsidR="007910A0" w:rsidRDefault="007910A0" w:rsidP="0015645B">
      <w:pPr>
        <w:tabs>
          <w:tab w:val="left" w:pos="6521"/>
        </w:tabs>
        <w:ind w:left="567" w:right="567"/>
        <w:rPr>
          <w:rFonts w:ascii="Arial" w:hAnsi="Arial"/>
          <w:sz w:val="22"/>
        </w:rPr>
      </w:pPr>
    </w:p>
    <w:p w:rsidR="007910A0" w:rsidRDefault="007910A0" w:rsidP="0015645B">
      <w:pPr>
        <w:tabs>
          <w:tab w:val="left" w:pos="6521"/>
        </w:tabs>
        <w:spacing w:after="40"/>
        <w:ind w:left="567" w:right="567"/>
        <w:rPr>
          <w:rFonts w:ascii="Arial" w:hAnsi="Arial"/>
          <w:noProof/>
          <w:sz w:val="22"/>
        </w:rPr>
      </w:pPr>
      <w:r>
        <w:rPr>
          <w:rFonts w:ascii="Arial" w:hAnsi="Arial"/>
          <w:noProof/>
          <w:sz w:val="22"/>
        </w:rPr>
        <w:t>Namens des Gemeinderates</w:t>
      </w:r>
    </w:p>
    <w:p w:rsidR="0032319A" w:rsidRDefault="007910A0" w:rsidP="0032319A">
      <w:pPr>
        <w:tabs>
          <w:tab w:val="left" w:pos="5954"/>
          <w:tab w:val="left" w:pos="6521"/>
        </w:tabs>
        <w:spacing w:after="40"/>
        <w:ind w:left="567" w:right="567"/>
        <w:rPr>
          <w:rFonts w:ascii="Arial" w:hAnsi="Arial"/>
          <w:sz w:val="22"/>
        </w:rPr>
      </w:pPr>
      <w:r>
        <w:rPr>
          <w:rFonts w:ascii="Arial" w:hAnsi="Arial"/>
          <w:sz w:val="22"/>
        </w:rPr>
        <w:t>Die Präsidentin /</w:t>
      </w:r>
      <w:r w:rsidR="0032319A">
        <w:rPr>
          <w:rFonts w:ascii="Arial" w:hAnsi="Arial"/>
          <w:sz w:val="22"/>
        </w:rPr>
        <w:tab/>
        <w:t>Die Gemeindeverwalterin /</w:t>
      </w:r>
    </w:p>
    <w:p w:rsidR="0032319A" w:rsidRDefault="0032319A" w:rsidP="0032319A">
      <w:pPr>
        <w:tabs>
          <w:tab w:val="left" w:pos="5954"/>
          <w:tab w:val="left" w:pos="6521"/>
        </w:tabs>
        <w:spacing w:after="40"/>
        <w:ind w:left="567" w:right="567"/>
        <w:rPr>
          <w:rFonts w:ascii="Arial" w:hAnsi="Arial"/>
          <w:sz w:val="22"/>
        </w:rPr>
      </w:pPr>
      <w:r>
        <w:rPr>
          <w:rFonts w:ascii="Arial" w:hAnsi="Arial"/>
          <w:sz w:val="22"/>
        </w:rPr>
        <w:t>der Präsident:</w:t>
      </w:r>
      <w:r>
        <w:rPr>
          <w:rFonts w:ascii="Arial" w:hAnsi="Arial"/>
          <w:sz w:val="22"/>
        </w:rPr>
        <w:tab/>
        <w:t>der Gemeindeverwalter:</w:t>
      </w:r>
    </w:p>
    <w:p w:rsidR="007910A0" w:rsidRDefault="007910A0" w:rsidP="0015645B">
      <w:pPr>
        <w:tabs>
          <w:tab w:val="left" w:pos="6237"/>
        </w:tabs>
        <w:ind w:left="567" w:right="567"/>
        <w:rPr>
          <w:rFonts w:ascii="Arial" w:hAnsi="Arial"/>
          <w:sz w:val="22"/>
        </w:rPr>
      </w:pPr>
    </w:p>
    <w:p w:rsidR="0032319A" w:rsidRDefault="0032319A" w:rsidP="0015645B">
      <w:pPr>
        <w:tabs>
          <w:tab w:val="left" w:pos="6237"/>
        </w:tabs>
        <w:ind w:left="567" w:right="567"/>
        <w:rPr>
          <w:rFonts w:ascii="Arial" w:hAnsi="Arial"/>
          <w:sz w:val="22"/>
        </w:rPr>
      </w:pPr>
    </w:p>
    <w:p w:rsidR="0032319A" w:rsidRDefault="0032319A" w:rsidP="0015645B">
      <w:pPr>
        <w:tabs>
          <w:tab w:val="left" w:pos="6237"/>
        </w:tabs>
        <w:ind w:left="567" w:right="567"/>
        <w:rPr>
          <w:rFonts w:ascii="Arial" w:hAnsi="Arial"/>
          <w:sz w:val="22"/>
        </w:rPr>
      </w:pPr>
    </w:p>
    <w:p w:rsidR="007910A0" w:rsidRDefault="007910A0" w:rsidP="0015645B">
      <w:pPr>
        <w:ind w:left="567" w:right="567"/>
        <w:rPr>
          <w:rFonts w:ascii="Arial" w:hAnsi="Arial"/>
          <w:sz w:val="22"/>
        </w:rPr>
      </w:pPr>
    </w:p>
    <w:p w:rsidR="007910A0" w:rsidRDefault="00C97E7F" w:rsidP="0015645B">
      <w:pPr>
        <w:ind w:left="567" w:right="567"/>
        <w:rPr>
          <w:rFonts w:ascii="Arial" w:hAnsi="Arial"/>
          <w:sz w:val="22"/>
        </w:rPr>
      </w:pPr>
      <w:r>
        <w:rPr>
          <w:rFonts w:ascii="Arial" w:hAnsi="Arial"/>
          <w:noProof/>
          <w:sz w:val="22"/>
        </w:rPr>
        <w:pict>
          <v:line id="_x0000_s1038" style="position:absolute;left:0;text-align:left;z-index:251660288" from="29.45pt,12.35pt" to="475.6pt,12.35pt" o:allowincell="f" strokeweight=".5pt"/>
        </w:pict>
      </w:r>
    </w:p>
    <w:p w:rsidR="007910A0" w:rsidRDefault="007910A0" w:rsidP="0015645B">
      <w:pPr>
        <w:ind w:left="567" w:right="567"/>
        <w:rPr>
          <w:rFonts w:ascii="Arial" w:hAnsi="Arial"/>
          <w:sz w:val="22"/>
        </w:rPr>
      </w:pPr>
    </w:p>
    <w:p w:rsidR="007910A0" w:rsidRDefault="007910A0" w:rsidP="0015645B">
      <w:pPr>
        <w:tabs>
          <w:tab w:val="left" w:pos="6521"/>
        </w:tabs>
        <w:spacing w:after="40"/>
        <w:ind w:left="567" w:right="567"/>
        <w:rPr>
          <w:rFonts w:ascii="Arial" w:hAnsi="Arial"/>
          <w:noProof/>
          <w:sz w:val="22"/>
        </w:rPr>
      </w:pPr>
      <w:r>
        <w:rPr>
          <w:rFonts w:ascii="Arial" w:hAnsi="Arial"/>
          <w:noProof/>
          <w:sz w:val="22"/>
        </w:rPr>
        <w:t>Vom Regierungsrat des Kan</w:t>
      </w:r>
      <w:r w:rsidR="0032319A">
        <w:rPr>
          <w:rFonts w:ascii="Arial" w:hAnsi="Arial"/>
          <w:noProof/>
          <w:sz w:val="22"/>
        </w:rPr>
        <w:t>tons Basel-Landschaft genehmigt</w:t>
      </w:r>
    </w:p>
    <w:p w:rsidR="007910A0" w:rsidRDefault="00C97E7F" w:rsidP="0015645B">
      <w:pPr>
        <w:tabs>
          <w:tab w:val="left" w:pos="3686"/>
        </w:tabs>
        <w:spacing w:after="80"/>
        <w:ind w:left="567" w:right="567"/>
        <w:rPr>
          <w:rFonts w:ascii="Arial" w:hAnsi="Arial"/>
          <w:sz w:val="22"/>
        </w:rPr>
      </w:pPr>
      <w:r>
        <w:rPr>
          <w:rFonts w:ascii="Arial" w:hAnsi="Arial"/>
          <w:noProof/>
          <w:sz w:val="22"/>
        </w:rPr>
        <w:pict>
          <v:line id="_x0000_s1039" style="position:absolute;left:0;text-align:left;z-index:251661312" from="123.05pt,15.35pt" to="331.85pt,15.35pt" o:allowincell="f" strokeweight=".25pt"/>
        </w:pict>
      </w:r>
      <w:r w:rsidR="0032319A">
        <w:rPr>
          <w:rFonts w:ascii="Arial" w:hAnsi="Arial"/>
          <w:sz w:val="22"/>
        </w:rPr>
        <w:t>mit Beschluss Nr.</w:t>
      </w:r>
      <w:r w:rsidR="007910A0">
        <w:rPr>
          <w:rFonts w:ascii="Arial" w:hAnsi="Arial"/>
          <w:sz w:val="22"/>
        </w:rPr>
        <w:tab/>
        <w:t>vom</w:t>
      </w:r>
    </w:p>
    <w:p w:rsidR="007910A0" w:rsidRDefault="007910A0" w:rsidP="0015645B">
      <w:pPr>
        <w:tabs>
          <w:tab w:val="left" w:pos="3686"/>
        </w:tabs>
        <w:ind w:left="567" w:right="567"/>
        <w:rPr>
          <w:rFonts w:ascii="Arial" w:hAnsi="Arial"/>
          <w:sz w:val="22"/>
        </w:rPr>
      </w:pPr>
    </w:p>
    <w:p w:rsidR="0032319A" w:rsidRDefault="0032319A" w:rsidP="0032319A">
      <w:pPr>
        <w:tabs>
          <w:tab w:val="left" w:pos="3686"/>
          <w:tab w:val="left" w:pos="6521"/>
        </w:tabs>
        <w:spacing w:after="40"/>
        <w:ind w:left="567" w:right="567"/>
        <w:rPr>
          <w:rFonts w:ascii="Arial" w:hAnsi="Arial"/>
          <w:noProof/>
          <w:sz w:val="22"/>
        </w:rPr>
      </w:pPr>
      <w:r>
        <w:rPr>
          <w:rFonts w:ascii="Arial" w:hAnsi="Arial"/>
          <w:noProof/>
          <w:sz w:val="22"/>
        </w:rPr>
        <w:t xml:space="preserve">Publikation des Regierungsratsbeschlusses </w:t>
      </w:r>
    </w:p>
    <w:p w:rsidR="0032319A" w:rsidRDefault="0032319A" w:rsidP="0032319A">
      <w:pPr>
        <w:tabs>
          <w:tab w:val="left" w:pos="3686"/>
        </w:tabs>
        <w:spacing w:after="80"/>
        <w:ind w:left="567" w:right="567"/>
        <w:rPr>
          <w:rFonts w:ascii="Arial" w:hAnsi="Arial"/>
          <w:sz w:val="22"/>
        </w:rPr>
      </w:pPr>
      <w:r>
        <w:rPr>
          <w:rFonts w:ascii="Arial" w:hAnsi="Arial"/>
          <w:noProof/>
          <w:sz w:val="22"/>
        </w:rPr>
        <mc:AlternateContent>
          <mc:Choice Requires="wps">
            <w:drawing>
              <wp:anchor distT="0" distB="0" distL="114300" distR="114300" simplePos="0" relativeHeight="251668480" behindDoc="0" locked="0" layoutInCell="0" allowOverlap="1">
                <wp:simplePos x="0" y="0"/>
                <wp:positionH relativeFrom="column">
                  <wp:posOffset>1437894</wp:posOffset>
                </wp:positionH>
                <wp:positionV relativeFrom="paragraph">
                  <wp:posOffset>200355</wp:posOffset>
                </wp:positionV>
                <wp:extent cx="2776118" cy="0"/>
                <wp:effectExtent l="0" t="0" r="2476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11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8pt" to="33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" o:allowincell="f" strokeweight=".25pt"/>
            </w:pict>
          </mc:Fallback>
        </mc:AlternateContent>
      </w:r>
      <w:r>
        <w:rPr>
          <w:rFonts w:ascii="Arial" w:hAnsi="Arial"/>
          <w:sz w:val="22"/>
        </w:rPr>
        <w:t>im Amtsblatt Nr.</w:t>
      </w:r>
      <w:r>
        <w:rPr>
          <w:rFonts w:ascii="Arial" w:hAnsi="Arial"/>
          <w:sz w:val="22"/>
        </w:rPr>
        <w:tab/>
        <w:t>vom</w:t>
      </w:r>
    </w:p>
    <w:p w:rsidR="0032319A" w:rsidRDefault="0032319A" w:rsidP="0032319A">
      <w:pPr>
        <w:ind w:left="567" w:right="567"/>
        <w:rPr>
          <w:rFonts w:ascii="Arial" w:hAnsi="Arial"/>
          <w:sz w:val="22"/>
        </w:rPr>
      </w:pPr>
    </w:p>
    <w:p w:rsidR="007910A0" w:rsidRDefault="007910A0" w:rsidP="0015645B">
      <w:pPr>
        <w:tabs>
          <w:tab w:val="left" w:pos="3686"/>
        </w:tabs>
        <w:ind w:left="567" w:right="567"/>
        <w:rPr>
          <w:rFonts w:ascii="Arial" w:hAnsi="Arial"/>
          <w:sz w:val="22"/>
        </w:rPr>
      </w:pPr>
    </w:p>
    <w:p w:rsidR="0032319A" w:rsidRDefault="0032319A" w:rsidP="0015645B">
      <w:pPr>
        <w:tabs>
          <w:tab w:val="left" w:pos="3686"/>
        </w:tabs>
        <w:ind w:left="567" w:right="567"/>
        <w:rPr>
          <w:rFonts w:ascii="Arial" w:hAnsi="Arial"/>
          <w:sz w:val="22"/>
        </w:rPr>
      </w:pPr>
    </w:p>
    <w:p w:rsidR="007910A0" w:rsidRDefault="007910A0" w:rsidP="0015645B">
      <w:pPr>
        <w:tabs>
          <w:tab w:val="left" w:pos="3686"/>
        </w:tabs>
        <w:ind w:left="567" w:right="567"/>
        <w:rPr>
          <w:rFonts w:ascii="Arial" w:hAnsi="Arial"/>
          <w:sz w:val="22"/>
        </w:rPr>
      </w:pPr>
    </w:p>
    <w:p w:rsidR="007910A0" w:rsidRDefault="0032319A" w:rsidP="0015645B">
      <w:pPr>
        <w:tabs>
          <w:tab w:val="left" w:pos="3686"/>
        </w:tabs>
        <w:ind w:left="567" w:right="567"/>
        <w:rPr>
          <w:rFonts w:ascii="Arial" w:hAnsi="Arial"/>
          <w:sz w:val="22"/>
        </w:rPr>
      </w:pPr>
      <w:r>
        <w:rPr>
          <w:rFonts w:ascii="Arial" w:hAnsi="Arial"/>
          <w:sz w:val="22"/>
        </w:rPr>
        <w:t>Der Landschreiber:</w:t>
      </w:r>
    </w:p>
    <w:p w:rsidR="007910A0" w:rsidRDefault="00C97E7F" w:rsidP="0015645B">
      <w:pPr>
        <w:tabs>
          <w:tab w:val="left" w:pos="3686"/>
        </w:tabs>
        <w:ind w:left="567" w:right="567"/>
        <w:rPr>
          <w:rFonts w:ascii="Arial" w:hAnsi="Arial"/>
          <w:sz w:val="22"/>
        </w:rPr>
      </w:pPr>
      <w:r>
        <w:rPr>
          <w:rFonts w:ascii="Arial" w:hAnsi="Arial"/>
          <w:noProof/>
          <w:sz w:val="22"/>
        </w:rPr>
        <w:pict>
          <v:line id="_x0000_s1040" style="position:absolute;left:0;text-align:left;z-index:251662336" from="127.05pt,4.5pt" to="331.85pt,4.5pt" o:allowincell="f" strokeweight=".25pt"/>
        </w:pict>
      </w:r>
    </w:p>
    <w:p w:rsidR="007910A0" w:rsidRDefault="00C97E7F" w:rsidP="0015645B">
      <w:pPr>
        <w:ind w:left="567" w:right="567"/>
        <w:rPr>
          <w:rFonts w:ascii="Arial" w:hAnsi="Arial"/>
          <w:sz w:val="22"/>
        </w:rPr>
      </w:pPr>
      <w:r>
        <w:rPr>
          <w:rFonts w:ascii="Arial" w:hAnsi="Arial"/>
          <w:noProof/>
          <w:sz w:val="22"/>
        </w:rPr>
        <w:pict>
          <v:line id="_x0000_s1044" style="position:absolute;left:0;text-align:left;z-index:251666432" from="29.45pt,12pt" to="475.6pt,12pt" o:allowincell="f" strokeweight=".5pt"/>
        </w:pict>
      </w:r>
    </w:p>
    <w:p w:rsidR="007910A0" w:rsidRDefault="007910A0" w:rsidP="0015645B">
      <w:pPr>
        <w:tabs>
          <w:tab w:val="left" w:pos="6521"/>
        </w:tabs>
        <w:spacing w:after="40"/>
        <w:ind w:left="567" w:right="567"/>
        <w:rPr>
          <w:rFonts w:ascii="Arial" w:hAnsi="Arial"/>
          <w:noProof/>
          <w:sz w:val="22"/>
        </w:rPr>
      </w:pPr>
    </w:p>
    <w:p w:rsidR="007910A0" w:rsidRDefault="007910A0" w:rsidP="0015645B">
      <w:pPr>
        <w:tabs>
          <w:tab w:val="left" w:pos="6521"/>
        </w:tabs>
        <w:spacing w:after="40"/>
        <w:ind w:left="567" w:right="567"/>
        <w:rPr>
          <w:rFonts w:ascii="Arial" w:hAnsi="Arial"/>
          <w:noProof/>
          <w:sz w:val="22"/>
        </w:rPr>
      </w:pPr>
    </w:p>
    <w:p w:rsidR="007910A0" w:rsidRDefault="00C97E7F" w:rsidP="0032319A">
      <w:pPr>
        <w:tabs>
          <w:tab w:val="left" w:pos="5954"/>
          <w:tab w:val="left" w:pos="6521"/>
        </w:tabs>
        <w:spacing w:after="40"/>
        <w:ind w:left="567" w:right="567"/>
        <w:rPr>
          <w:rFonts w:ascii="Arial" w:hAnsi="Arial"/>
          <w:sz w:val="22"/>
        </w:rPr>
      </w:pPr>
      <w:r>
        <w:rPr>
          <w:rFonts w:ascii="Arial" w:hAnsi="Arial"/>
          <w:sz w:val="22"/>
        </w:rPr>
        <w:pict>
          <v:line id="_x0000_s1042" style="position:absolute;left:0;text-align:left;z-index:251664384" from="29.45pt,14.25pt" to="475.6pt,14.25pt" o:allowincell="f" strokeweight=".25pt"/>
        </w:pict>
      </w:r>
      <w:r w:rsidR="007910A0">
        <w:rPr>
          <w:rFonts w:ascii="Arial" w:hAnsi="Arial"/>
          <w:sz w:val="22"/>
        </w:rPr>
        <w:t>Bearbeitung</w:t>
      </w:r>
      <w:r w:rsidR="007910A0">
        <w:rPr>
          <w:rFonts w:ascii="Arial" w:hAnsi="Arial"/>
          <w:sz w:val="22"/>
        </w:rPr>
        <w:tab/>
        <w:t>Datum</w:t>
      </w:r>
    </w:p>
    <w:p w:rsidR="007910A0" w:rsidRPr="0032319A" w:rsidRDefault="007910A0" w:rsidP="0015645B">
      <w:pPr>
        <w:ind w:left="567" w:right="567"/>
        <w:rPr>
          <w:rFonts w:ascii="Arial" w:hAnsi="Arial"/>
          <w:sz w:val="22"/>
        </w:rPr>
      </w:pPr>
    </w:p>
    <w:p w:rsidR="007910A0" w:rsidRPr="0032319A" w:rsidRDefault="007910A0" w:rsidP="0015645B">
      <w:pPr>
        <w:ind w:left="567" w:right="567"/>
        <w:rPr>
          <w:rFonts w:ascii="Arial" w:hAnsi="Arial"/>
          <w:sz w:val="22"/>
        </w:rPr>
      </w:pPr>
    </w:p>
    <w:p w:rsidR="007910A0" w:rsidRPr="0032319A" w:rsidRDefault="007910A0" w:rsidP="0015645B">
      <w:pPr>
        <w:ind w:left="567" w:right="567"/>
        <w:rPr>
          <w:rFonts w:ascii="Arial" w:hAnsi="Arial"/>
          <w:sz w:val="22"/>
        </w:rPr>
      </w:pPr>
    </w:p>
    <w:p w:rsidR="007910A0" w:rsidRDefault="00C97E7F" w:rsidP="0015645B">
      <w:pPr>
        <w:spacing w:before="200" w:after="200"/>
        <w:rPr>
          <w:rFonts w:ascii="Arial" w:hAnsi="Arial"/>
          <w:b/>
          <w:sz w:val="32"/>
        </w:rPr>
      </w:pPr>
      <w:r>
        <w:rPr>
          <w:rFonts w:ascii="Arial" w:hAnsi="Arial"/>
          <w:noProof/>
          <w:sz w:val="22"/>
        </w:rPr>
        <w:pict>
          <v:line id="_x0000_s1043" style="position:absolute;z-index:251665408" from="29.45pt,7.1pt" to="475.6pt,7.1pt" o:allowincell="f" strokeweight=".5pt"/>
        </w:pict>
      </w:r>
      <w:r w:rsidR="007910A0">
        <w:rPr>
          <w:rFonts w:ascii="Arial" w:hAnsi="Arial"/>
          <w:b/>
          <w:sz w:val="32"/>
        </w:rPr>
        <w:br w:type="page"/>
      </w:r>
      <w:r w:rsidR="00616E3B">
        <w:rPr>
          <w:rFonts w:ascii="Arial" w:hAnsi="Arial"/>
          <w:b/>
          <w:sz w:val="32"/>
        </w:rPr>
        <w:lastRenderedPageBreak/>
        <w:t>Quartierplanreglement</w:t>
      </w:r>
      <w:r w:rsidR="00912A6D">
        <w:rPr>
          <w:rFonts w:ascii="Arial" w:hAnsi="Arial"/>
          <w:b/>
          <w:sz w:val="32"/>
        </w:rPr>
        <w:t xml:space="preserve"> „</w:t>
      </w:r>
      <w:r w:rsidR="00616E3B">
        <w:rPr>
          <w:rFonts w:ascii="Arial" w:hAnsi="Arial"/>
          <w:b/>
          <w:sz w:val="32"/>
        </w:rPr>
        <w:t>…</w:t>
      </w:r>
      <w:r w:rsidR="00912A6D">
        <w:rPr>
          <w:rFonts w:ascii="Arial" w:hAnsi="Arial"/>
          <w:b/>
          <w:sz w:val="32"/>
        </w:rPr>
        <w:t>“</w:t>
      </w:r>
    </w:p>
    <w:p w:rsidR="007910A0" w:rsidRDefault="007910A0" w:rsidP="0015645B">
      <w:pPr>
        <w:rPr>
          <w:rFonts w:ascii="Arial" w:hAnsi="Arial"/>
          <w:sz w:val="22"/>
        </w:rPr>
      </w:pPr>
    </w:p>
    <w:p w:rsidR="00DE4BED" w:rsidRDefault="00DE4BED" w:rsidP="0015645B">
      <w:pPr>
        <w:rPr>
          <w:rFonts w:ascii="Arial" w:hAnsi="Arial"/>
          <w:sz w:val="22"/>
        </w:rPr>
      </w:pPr>
    </w:p>
    <w:p w:rsidR="007910A0" w:rsidRDefault="00937BA1" w:rsidP="0015645B">
      <w:pPr>
        <w:rPr>
          <w:rFonts w:ascii="Arial" w:hAnsi="Arial"/>
          <w:sz w:val="22"/>
        </w:rPr>
      </w:pPr>
      <w:r w:rsidRPr="00937BA1">
        <w:rPr>
          <w:rFonts w:ascii="Arial" w:hAnsi="Arial"/>
          <w:sz w:val="22"/>
        </w:rPr>
        <w:t>Die Gemeinde … erlässt – gestützt auf § 2-7 und § 37 ff. des Raumplanungs- und Baugesetzes (RBG) vom 8. Januar 1998 – die Quartierplanvorschriften „…“, bestehend aus dem Quartierplanreglement und dem Quartierplan (Situation und Schnitte) im Massstab 1:500.</w:t>
      </w:r>
    </w:p>
    <w:p w:rsidR="00DE4BED" w:rsidRDefault="00DE4BED" w:rsidP="0015645B">
      <w:pPr>
        <w:rPr>
          <w:rFonts w:ascii="Arial" w:hAnsi="Arial"/>
          <w:sz w:val="22"/>
        </w:rPr>
      </w:pPr>
    </w:p>
    <w:p w:rsidR="007910A0" w:rsidRDefault="007910A0" w:rsidP="0015645B">
      <w:pPr>
        <w:spacing w:after="120"/>
        <w:rPr>
          <w:rFonts w:ascii="Arial" w:hAnsi="Arial"/>
          <w:b/>
        </w:rPr>
      </w:pPr>
      <w:r>
        <w:rPr>
          <w:rFonts w:ascii="Arial" w:hAnsi="Arial"/>
          <w:b/>
        </w:rPr>
        <w:t xml:space="preserve">§ </w:t>
      </w:r>
      <w:r w:rsidR="00C770F6">
        <w:rPr>
          <w:rFonts w:ascii="Arial" w:hAnsi="Arial"/>
          <w:b/>
        </w:rPr>
        <w:t>1</w:t>
      </w:r>
      <w:r w:rsidR="00C770F6">
        <w:rPr>
          <w:rFonts w:ascii="Arial" w:hAnsi="Arial"/>
          <w:b/>
        </w:rPr>
        <w:tab/>
      </w:r>
      <w:r>
        <w:rPr>
          <w:rFonts w:ascii="Arial" w:hAnsi="Arial"/>
          <w:b/>
        </w:rPr>
        <w:t>Zweck</w:t>
      </w:r>
      <w:r w:rsidR="00383B13">
        <w:rPr>
          <w:rFonts w:ascii="Arial" w:hAnsi="Arial"/>
          <w:b/>
        </w:rPr>
        <w:t xml:space="preserve"> und Ziele der Planung</w:t>
      </w:r>
    </w:p>
    <w:p w:rsidR="00383B13" w:rsidRPr="00383B13" w:rsidRDefault="00383B13" w:rsidP="0015645B">
      <w:pPr>
        <w:rPr>
          <w:rFonts w:ascii="Arial" w:hAnsi="Arial"/>
          <w:sz w:val="22"/>
        </w:rPr>
      </w:pPr>
      <w:r w:rsidRPr="00383B13">
        <w:rPr>
          <w:rFonts w:ascii="Arial" w:hAnsi="Arial"/>
          <w:sz w:val="22"/>
          <w:vertAlign w:val="superscript"/>
        </w:rPr>
        <w:t>1</w:t>
      </w:r>
      <w:r w:rsidRPr="00383B13">
        <w:rPr>
          <w:rFonts w:ascii="Arial" w:hAnsi="Arial"/>
          <w:sz w:val="22"/>
        </w:rPr>
        <w:t xml:space="preserve"> Die Quartierplanung „…“ bezweckt eine geordnete, haushälterische Nutzung des Bodens und soll eine umweltgerechte, wohnhygienisch, architektonisch und städtebaulich sowie erschliessungsmässig gute, der Umgebung angepasste Überbauung gewährleisten.</w:t>
      </w:r>
    </w:p>
    <w:p w:rsidR="00383B13" w:rsidRPr="00383B13" w:rsidRDefault="00383B13" w:rsidP="0015645B">
      <w:pPr>
        <w:rPr>
          <w:rFonts w:ascii="Arial" w:hAnsi="Arial"/>
          <w:sz w:val="22"/>
        </w:rPr>
      </w:pPr>
    </w:p>
    <w:p w:rsidR="00383B13" w:rsidRPr="00383B13" w:rsidRDefault="00383B13" w:rsidP="0015645B">
      <w:pPr>
        <w:rPr>
          <w:rFonts w:ascii="Arial" w:hAnsi="Arial"/>
          <w:sz w:val="22"/>
        </w:rPr>
      </w:pPr>
      <w:r w:rsidRPr="00383B13">
        <w:rPr>
          <w:rFonts w:ascii="Arial" w:hAnsi="Arial"/>
          <w:sz w:val="22"/>
          <w:vertAlign w:val="superscript"/>
        </w:rPr>
        <w:t>2</w:t>
      </w:r>
      <w:r w:rsidRPr="00383B13">
        <w:rPr>
          <w:rFonts w:ascii="Arial" w:hAnsi="Arial"/>
          <w:sz w:val="22"/>
        </w:rPr>
        <w:t xml:space="preserve"> Mit dieser Quartierplanung werden im Wesentlichen folgende Ziele verfolgt:</w:t>
      </w:r>
    </w:p>
    <w:p w:rsidR="00383B13" w:rsidRPr="00383B13" w:rsidRDefault="00383B13" w:rsidP="0015645B">
      <w:pPr>
        <w:numPr>
          <w:ilvl w:val="0"/>
          <w:numId w:val="4"/>
        </w:numPr>
        <w:rPr>
          <w:rFonts w:ascii="Arial" w:hAnsi="Arial"/>
          <w:sz w:val="22"/>
        </w:rPr>
      </w:pPr>
      <w:r w:rsidRPr="00383B13">
        <w:rPr>
          <w:rFonts w:ascii="Arial" w:hAnsi="Arial"/>
          <w:sz w:val="22"/>
        </w:rPr>
        <w:t>Realisierung einer architektonisch und städtebaulich gut gestalteter Siedlung mit hoher Wohn- und Aussenraumqualität</w:t>
      </w:r>
    </w:p>
    <w:p w:rsidR="00383B13" w:rsidRPr="00383B13" w:rsidRDefault="00383B13" w:rsidP="0015645B">
      <w:pPr>
        <w:numPr>
          <w:ilvl w:val="0"/>
          <w:numId w:val="4"/>
        </w:numPr>
        <w:rPr>
          <w:rFonts w:ascii="Arial" w:hAnsi="Arial"/>
          <w:sz w:val="22"/>
        </w:rPr>
      </w:pPr>
      <w:r w:rsidRPr="00383B13">
        <w:rPr>
          <w:rFonts w:ascii="Arial" w:hAnsi="Arial"/>
          <w:sz w:val="22"/>
        </w:rPr>
        <w:t>gute Eingliederung in die bestehende bauliche Umgebung mit Berücksichtigung der speziellen Lage, der Wohnbedürfnisse der Bewohner und der Nachbarschaft</w:t>
      </w:r>
    </w:p>
    <w:p w:rsidR="00383B13" w:rsidRPr="00383B13" w:rsidRDefault="00383B13" w:rsidP="0015645B">
      <w:pPr>
        <w:numPr>
          <w:ilvl w:val="0"/>
          <w:numId w:val="4"/>
        </w:numPr>
        <w:rPr>
          <w:rFonts w:ascii="Arial" w:hAnsi="Arial"/>
          <w:sz w:val="22"/>
        </w:rPr>
      </w:pPr>
      <w:r w:rsidRPr="00383B13">
        <w:rPr>
          <w:rFonts w:ascii="Arial" w:hAnsi="Arial"/>
          <w:sz w:val="22"/>
        </w:rPr>
        <w:t>optimale Erschliessung</w:t>
      </w:r>
    </w:p>
    <w:p w:rsidR="00383B13" w:rsidRPr="00383B13" w:rsidRDefault="00383B13" w:rsidP="0015645B">
      <w:pPr>
        <w:numPr>
          <w:ilvl w:val="0"/>
          <w:numId w:val="4"/>
        </w:numPr>
        <w:rPr>
          <w:rFonts w:ascii="Arial" w:hAnsi="Arial"/>
          <w:sz w:val="22"/>
        </w:rPr>
      </w:pPr>
      <w:r w:rsidRPr="00383B13">
        <w:rPr>
          <w:rFonts w:ascii="Arial" w:hAnsi="Arial"/>
          <w:sz w:val="22"/>
        </w:rPr>
        <w:t>ökologische Vernetzung verschiedener Lebensräume und naturnahe Gestaltung</w:t>
      </w:r>
    </w:p>
    <w:p w:rsidR="00383B13" w:rsidRPr="00383B13" w:rsidRDefault="00383B13" w:rsidP="0015645B">
      <w:pPr>
        <w:numPr>
          <w:ilvl w:val="0"/>
          <w:numId w:val="4"/>
        </w:numPr>
        <w:rPr>
          <w:rFonts w:ascii="Arial" w:hAnsi="Arial"/>
          <w:sz w:val="22"/>
        </w:rPr>
      </w:pPr>
      <w:r w:rsidRPr="00383B13">
        <w:rPr>
          <w:rFonts w:ascii="Arial" w:hAnsi="Arial"/>
          <w:sz w:val="22"/>
        </w:rPr>
        <w:t>Siedlungsverdichtung und haushälterische Nutzung</w:t>
      </w:r>
    </w:p>
    <w:p w:rsidR="00383B13" w:rsidRPr="00383B13" w:rsidRDefault="00383B13" w:rsidP="0015645B">
      <w:pPr>
        <w:numPr>
          <w:ilvl w:val="0"/>
          <w:numId w:val="4"/>
        </w:numPr>
        <w:rPr>
          <w:rFonts w:ascii="Arial" w:hAnsi="Arial"/>
          <w:sz w:val="22"/>
        </w:rPr>
      </w:pPr>
      <w:r w:rsidRPr="00383B13">
        <w:rPr>
          <w:rFonts w:ascii="Arial" w:hAnsi="Arial"/>
          <w:sz w:val="22"/>
        </w:rPr>
        <w:t>Sicherstellung einer energieeffizienten Bauweise</w:t>
      </w:r>
    </w:p>
    <w:p w:rsidR="00383B13" w:rsidRPr="00383B13" w:rsidRDefault="00383B13" w:rsidP="0015645B">
      <w:pPr>
        <w:rPr>
          <w:rFonts w:ascii="Arial" w:hAnsi="Arial"/>
          <w:sz w:val="22"/>
        </w:rPr>
      </w:pPr>
    </w:p>
    <w:p w:rsidR="007910A0" w:rsidRDefault="007910A0" w:rsidP="0015645B">
      <w:pPr>
        <w:spacing w:after="120"/>
        <w:rPr>
          <w:rFonts w:ascii="Arial" w:hAnsi="Arial"/>
          <w:b/>
        </w:rPr>
      </w:pPr>
      <w:r>
        <w:rPr>
          <w:rFonts w:ascii="Arial" w:hAnsi="Arial"/>
          <w:b/>
        </w:rPr>
        <w:t xml:space="preserve">§ </w:t>
      </w:r>
      <w:r w:rsidR="00C770F6">
        <w:rPr>
          <w:rFonts w:ascii="Arial" w:hAnsi="Arial"/>
          <w:b/>
        </w:rPr>
        <w:t>2</w:t>
      </w:r>
      <w:r w:rsidR="00C770F6">
        <w:rPr>
          <w:rFonts w:ascii="Arial" w:hAnsi="Arial"/>
          <w:b/>
        </w:rPr>
        <w:tab/>
      </w:r>
      <w:bookmarkStart w:id="0" w:name="_Toc434850271"/>
      <w:r w:rsidR="00383B13" w:rsidRPr="00383B13">
        <w:rPr>
          <w:rFonts w:ascii="Arial" w:hAnsi="Arial"/>
          <w:b/>
        </w:rPr>
        <w:t>Geltungsbereich und Inhalt</w:t>
      </w:r>
      <w:bookmarkEnd w:id="0"/>
    </w:p>
    <w:p w:rsidR="00383B13" w:rsidRPr="00383B13" w:rsidRDefault="00383B13" w:rsidP="0015645B">
      <w:pPr>
        <w:pStyle w:val="berschrift2"/>
        <w:spacing w:after="0"/>
        <w:rPr>
          <w:b w:val="0"/>
          <w:sz w:val="22"/>
        </w:rPr>
      </w:pPr>
      <w:r w:rsidRPr="00383B13">
        <w:rPr>
          <w:b w:val="0"/>
          <w:sz w:val="22"/>
          <w:vertAlign w:val="superscript"/>
        </w:rPr>
        <w:t>1</w:t>
      </w:r>
      <w:r w:rsidRPr="00383B13">
        <w:rPr>
          <w:b w:val="0"/>
          <w:sz w:val="22"/>
        </w:rPr>
        <w:t xml:space="preserve"> Die Quartierplanvorschriften gelten für das Areal innerhalb des Quartierplanperimeters. Planelemente ausserhalb des Quartierplanperimeters haben lediglich orientierenden Charakter.</w:t>
      </w:r>
    </w:p>
    <w:p w:rsidR="00383B13" w:rsidRPr="00383B13" w:rsidRDefault="00383B13" w:rsidP="0015645B">
      <w:pPr>
        <w:pStyle w:val="berschrift2"/>
        <w:spacing w:after="0"/>
        <w:rPr>
          <w:b w:val="0"/>
          <w:sz w:val="22"/>
        </w:rPr>
      </w:pPr>
    </w:p>
    <w:p w:rsidR="00383B13" w:rsidRPr="00383B13" w:rsidRDefault="00383B13" w:rsidP="0015645B">
      <w:pPr>
        <w:pStyle w:val="berschrift2"/>
        <w:spacing w:after="0"/>
        <w:rPr>
          <w:b w:val="0"/>
          <w:sz w:val="22"/>
        </w:rPr>
      </w:pPr>
      <w:r w:rsidRPr="00383B13">
        <w:rPr>
          <w:b w:val="0"/>
          <w:sz w:val="22"/>
          <w:vertAlign w:val="superscript"/>
        </w:rPr>
        <w:t>2</w:t>
      </w:r>
      <w:r w:rsidRPr="00383B13">
        <w:rPr>
          <w:b w:val="0"/>
          <w:sz w:val="22"/>
        </w:rPr>
        <w:t xml:space="preserve"> Die Vorschriften regeln insbesondere:</w:t>
      </w:r>
    </w:p>
    <w:p w:rsidR="00383B13" w:rsidRPr="00383B13" w:rsidRDefault="00383B13" w:rsidP="0015645B">
      <w:pPr>
        <w:pStyle w:val="berschrift2"/>
        <w:numPr>
          <w:ilvl w:val="0"/>
          <w:numId w:val="5"/>
        </w:numPr>
        <w:spacing w:after="0"/>
        <w:rPr>
          <w:b w:val="0"/>
          <w:sz w:val="22"/>
        </w:rPr>
      </w:pPr>
      <w:r w:rsidRPr="00383B13">
        <w:rPr>
          <w:b w:val="0"/>
          <w:sz w:val="22"/>
        </w:rPr>
        <w:t>die Lage, die Grösse und die Gestaltung der Bauten</w:t>
      </w:r>
    </w:p>
    <w:p w:rsidR="00383B13" w:rsidRPr="00383B13" w:rsidRDefault="00383B13" w:rsidP="0015645B">
      <w:pPr>
        <w:pStyle w:val="berschrift2"/>
        <w:numPr>
          <w:ilvl w:val="0"/>
          <w:numId w:val="5"/>
        </w:numPr>
        <w:spacing w:after="0"/>
        <w:rPr>
          <w:b w:val="0"/>
          <w:sz w:val="22"/>
        </w:rPr>
      </w:pPr>
      <w:r w:rsidRPr="00383B13">
        <w:rPr>
          <w:b w:val="0"/>
          <w:sz w:val="22"/>
        </w:rPr>
        <w:t>die Art und das Mass der Nutzung des Areals und der Bauten</w:t>
      </w:r>
    </w:p>
    <w:p w:rsidR="00383B13" w:rsidRPr="00383B13" w:rsidRDefault="00383B13" w:rsidP="0015645B">
      <w:pPr>
        <w:pStyle w:val="berschrift2"/>
        <w:numPr>
          <w:ilvl w:val="0"/>
          <w:numId w:val="5"/>
        </w:numPr>
        <w:spacing w:after="0"/>
        <w:rPr>
          <w:b w:val="0"/>
          <w:sz w:val="22"/>
        </w:rPr>
      </w:pPr>
      <w:r w:rsidRPr="00383B13">
        <w:rPr>
          <w:b w:val="0"/>
          <w:sz w:val="22"/>
        </w:rPr>
        <w:t>die Gestaltung und die Benützung der privaten und gemeinschaftlichen Freiflächen</w:t>
      </w:r>
    </w:p>
    <w:p w:rsidR="00383B13" w:rsidRPr="00383B13" w:rsidRDefault="00383B13" w:rsidP="0015645B">
      <w:pPr>
        <w:pStyle w:val="berschrift2"/>
        <w:numPr>
          <w:ilvl w:val="0"/>
          <w:numId w:val="5"/>
        </w:numPr>
        <w:spacing w:after="0"/>
        <w:rPr>
          <w:b w:val="0"/>
          <w:sz w:val="22"/>
        </w:rPr>
      </w:pPr>
      <w:r w:rsidRPr="00383B13">
        <w:rPr>
          <w:b w:val="0"/>
          <w:sz w:val="22"/>
        </w:rPr>
        <w:t>die Gestaltung, Pflege und den Unterhalt des Aussenraumes</w:t>
      </w:r>
    </w:p>
    <w:p w:rsidR="00383B13" w:rsidRPr="00383B13" w:rsidRDefault="00383B13" w:rsidP="0015645B">
      <w:pPr>
        <w:pStyle w:val="berschrift2"/>
        <w:numPr>
          <w:ilvl w:val="0"/>
          <w:numId w:val="5"/>
        </w:numPr>
        <w:spacing w:after="0"/>
        <w:rPr>
          <w:b w:val="0"/>
          <w:sz w:val="22"/>
        </w:rPr>
      </w:pPr>
      <w:r w:rsidRPr="00383B13">
        <w:rPr>
          <w:b w:val="0"/>
          <w:sz w:val="22"/>
        </w:rPr>
        <w:t>die Erschliessung und Parkierung</w:t>
      </w:r>
    </w:p>
    <w:p w:rsidR="00383B13" w:rsidRPr="00383B13" w:rsidRDefault="00383B13" w:rsidP="0015645B">
      <w:pPr>
        <w:pStyle w:val="berschrift2"/>
        <w:numPr>
          <w:ilvl w:val="0"/>
          <w:numId w:val="5"/>
        </w:numPr>
        <w:spacing w:after="0"/>
        <w:rPr>
          <w:b w:val="0"/>
          <w:sz w:val="22"/>
        </w:rPr>
      </w:pPr>
      <w:r w:rsidRPr="00383B13">
        <w:rPr>
          <w:b w:val="0"/>
          <w:sz w:val="22"/>
        </w:rPr>
        <w:t>die Realisierung der Überbauung</w:t>
      </w:r>
    </w:p>
    <w:p w:rsidR="00383B13" w:rsidRPr="00383B13" w:rsidRDefault="00383B13" w:rsidP="0015645B">
      <w:pPr>
        <w:pStyle w:val="berschrift2"/>
        <w:spacing w:after="0"/>
        <w:rPr>
          <w:b w:val="0"/>
          <w:sz w:val="22"/>
        </w:rPr>
      </w:pPr>
    </w:p>
    <w:p w:rsidR="007910A0" w:rsidRPr="00952D23" w:rsidRDefault="007910A0" w:rsidP="0015645B">
      <w:pPr>
        <w:pStyle w:val="berschrift2"/>
      </w:pPr>
      <w:r w:rsidRPr="00952D23">
        <w:t xml:space="preserve">§ </w:t>
      </w:r>
      <w:r w:rsidR="00C770F6">
        <w:t>3</w:t>
      </w:r>
      <w:r w:rsidR="00C770F6">
        <w:tab/>
      </w:r>
      <w:r w:rsidR="00383B13">
        <w:t>Lage, Grösse und Gestaltung der Bauten</w:t>
      </w:r>
    </w:p>
    <w:p w:rsidR="00383B13" w:rsidRPr="00383B13" w:rsidRDefault="00383B13" w:rsidP="0015645B">
      <w:pPr>
        <w:pStyle w:val="berschrift2"/>
        <w:spacing w:after="0"/>
        <w:rPr>
          <w:b w:val="0"/>
          <w:sz w:val="22"/>
        </w:rPr>
      </w:pPr>
      <w:r w:rsidRPr="00383B13">
        <w:rPr>
          <w:b w:val="0"/>
          <w:sz w:val="22"/>
          <w:vertAlign w:val="superscript"/>
        </w:rPr>
        <w:t>1</w:t>
      </w:r>
      <w:r w:rsidRPr="00383B13">
        <w:rPr>
          <w:b w:val="0"/>
          <w:sz w:val="22"/>
        </w:rPr>
        <w:t xml:space="preserve"> Es dürfen nur diejenigen Bauten und Anlagen erstellt werden, die im Quartierplan enthalten sind.</w:t>
      </w:r>
    </w:p>
    <w:p w:rsidR="00383B13" w:rsidRPr="00383B13" w:rsidRDefault="00383B13" w:rsidP="0015645B">
      <w:pPr>
        <w:pStyle w:val="berschrift2"/>
        <w:spacing w:after="0"/>
        <w:rPr>
          <w:b w:val="0"/>
          <w:sz w:val="22"/>
        </w:rPr>
      </w:pPr>
    </w:p>
    <w:p w:rsidR="00383B13" w:rsidRPr="00383B13" w:rsidRDefault="00383B13" w:rsidP="0015645B">
      <w:pPr>
        <w:pStyle w:val="berschrift2"/>
        <w:spacing w:after="0"/>
        <w:rPr>
          <w:b w:val="0"/>
          <w:sz w:val="22"/>
        </w:rPr>
      </w:pPr>
      <w:r w:rsidRPr="00383B13">
        <w:rPr>
          <w:b w:val="0"/>
          <w:sz w:val="22"/>
          <w:vertAlign w:val="superscript"/>
        </w:rPr>
        <w:t>2</w:t>
      </w:r>
      <w:r w:rsidRPr="00383B13">
        <w:rPr>
          <w:b w:val="0"/>
          <w:sz w:val="22"/>
        </w:rPr>
        <w:t xml:space="preserve"> Lage und Grösse der Hauptbauten (maximal zulässige Grundfläche, Geschosszahl und Gebäudeprofil) gehen aus dem Quartierplan hervor. Die Anordnung der Bauten innerhalb der Baubereiche ist frei.</w:t>
      </w:r>
    </w:p>
    <w:p w:rsidR="00383B13" w:rsidRPr="00383B13" w:rsidRDefault="00383B13" w:rsidP="0015645B">
      <w:pPr>
        <w:pStyle w:val="berschrift2"/>
        <w:spacing w:after="0"/>
        <w:rPr>
          <w:b w:val="0"/>
          <w:sz w:val="22"/>
        </w:rPr>
      </w:pPr>
    </w:p>
    <w:p w:rsidR="00383B13" w:rsidRPr="00383B13" w:rsidRDefault="00383B13" w:rsidP="0015645B">
      <w:pPr>
        <w:pStyle w:val="berschrift2"/>
        <w:spacing w:after="0"/>
        <w:rPr>
          <w:b w:val="0"/>
          <w:sz w:val="22"/>
        </w:rPr>
      </w:pPr>
      <w:r w:rsidRPr="00383B13">
        <w:rPr>
          <w:b w:val="0"/>
          <w:sz w:val="22"/>
          <w:vertAlign w:val="superscript"/>
        </w:rPr>
        <w:t>3</w:t>
      </w:r>
      <w:r w:rsidRPr="00383B13">
        <w:rPr>
          <w:b w:val="0"/>
          <w:sz w:val="22"/>
        </w:rPr>
        <w:t xml:space="preserve"> Die Materialien und die Gestaltung der Fassaden aller Bauten und Bauteile sind so zu wählen und aufeinander abzustimmen, dass ein ästhetisch ansprechender und harmonischer Gesamteindruck entsteht, welcher das Quartier als bauliche Einheit erscheinen lässt. Eine Differenzierung in der Farbgebung der einzelnen Bauten ist gestattet.</w:t>
      </w:r>
    </w:p>
    <w:p w:rsidR="00383B13" w:rsidRPr="00383B13" w:rsidRDefault="00383B13" w:rsidP="0015645B">
      <w:pPr>
        <w:pStyle w:val="berschrift2"/>
        <w:spacing w:after="0"/>
        <w:rPr>
          <w:b w:val="0"/>
          <w:sz w:val="22"/>
        </w:rPr>
      </w:pPr>
      <w:r w:rsidRPr="00383B13">
        <w:rPr>
          <w:b w:val="0"/>
          <w:sz w:val="22"/>
        </w:rPr>
        <w:t>Die Gestaltungsvorschriften gelten auch für spätere Umbauten und Renovationen.</w:t>
      </w:r>
    </w:p>
    <w:p w:rsidR="00383B13" w:rsidRPr="00383B13" w:rsidRDefault="00383B13" w:rsidP="0015645B">
      <w:pPr>
        <w:pStyle w:val="berschrift2"/>
        <w:spacing w:after="0"/>
        <w:rPr>
          <w:b w:val="0"/>
          <w:sz w:val="22"/>
        </w:rPr>
      </w:pPr>
    </w:p>
    <w:p w:rsidR="00383B13" w:rsidRPr="00383B13" w:rsidRDefault="00383B13" w:rsidP="0015645B">
      <w:pPr>
        <w:pStyle w:val="berschrift2"/>
        <w:spacing w:after="0"/>
        <w:rPr>
          <w:b w:val="0"/>
          <w:sz w:val="22"/>
        </w:rPr>
      </w:pPr>
      <w:r w:rsidRPr="00383B13">
        <w:rPr>
          <w:b w:val="0"/>
          <w:sz w:val="22"/>
          <w:vertAlign w:val="superscript"/>
        </w:rPr>
        <w:t>4</w:t>
      </w:r>
      <w:r w:rsidRPr="00383B13">
        <w:rPr>
          <w:b w:val="0"/>
          <w:sz w:val="22"/>
        </w:rPr>
        <w:t xml:space="preserve"> Die Hauptbauten sind mit Flachdach zu erstellen, für Kleinbauten ist die Dachform frei. Flachdächer sind mit einer Substratschicht aus natürlichem Bodenmaterial aus der Region zu bedecken und mit einheimischem Saatgut extensiv zu begrünen (z.B. Basler-Mischung).</w:t>
      </w:r>
    </w:p>
    <w:p w:rsidR="00383B13" w:rsidRPr="00383B13" w:rsidRDefault="00383B13" w:rsidP="0015645B">
      <w:pPr>
        <w:pStyle w:val="berschrift2"/>
        <w:spacing w:after="0"/>
        <w:rPr>
          <w:b w:val="0"/>
          <w:sz w:val="22"/>
        </w:rPr>
      </w:pPr>
    </w:p>
    <w:p w:rsidR="00383B13" w:rsidRPr="00383B13" w:rsidRDefault="00383B13" w:rsidP="0015645B">
      <w:pPr>
        <w:pStyle w:val="berschrift2"/>
        <w:spacing w:after="0"/>
        <w:rPr>
          <w:b w:val="0"/>
          <w:sz w:val="22"/>
        </w:rPr>
      </w:pPr>
      <w:r w:rsidRPr="00383B13">
        <w:rPr>
          <w:b w:val="0"/>
          <w:sz w:val="22"/>
          <w:vertAlign w:val="superscript"/>
        </w:rPr>
        <w:t>5</w:t>
      </w:r>
      <w:r w:rsidRPr="00383B13">
        <w:rPr>
          <w:b w:val="0"/>
          <w:sz w:val="22"/>
        </w:rPr>
        <w:t xml:space="preserve"> Wohnungen und deren Zugänge sind hindernisfrei zu erstellen.</w:t>
      </w:r>
    </w:p>
    <w:p w:rsidR="00383B13" w:rsidRPr="00383B13" w:rsidRDefault="00383B13" w:rsidP="0015645B">
      <w:pPr>
        <w:pStyle w:val="berschrift2"/>
        <w:spacing w:after="0"/>
        <w:rPr>
          <w:b w:val="0"/>
          <w:sz w:val="22"/>
        </w:rPr>
      </w:pPr>
    </w:p>
    <w:p w:rsidR="007910A0" w:rsidRPr="00DE4BED" w:rsidRDefault="00DE4BED" w:rsidP="0015645B">
      <w:pPr>
        <w:pStyle w:val="berschrift2"/>
      </w:pPr>
      <w:r w:rsidRPr="00DE4BED">
        <w:t xml:space="preserve">§ </w:t>
      </w:r>
      <w:r w:rsidR="00C770F6">
        <w:t>4</w:t>
      </w:r>
      <w:r w:rsidR="00C770F6">
        <w:tab/>
      </w:r>
      <w:r w:rsidR="00383B13" w:rsidRPr="00661A14">
        <w:t>Art und Mass der Nutzung</w:t>
      </w:r>
    </w:p>
    <w:p w:rsidR="00383B13" w:rsidRPr="00383B13" w:rsidRDefault="00383B13" w:rsidP="0015645B">
      <w:pPr>
        <w:pStyle w:val="berschrift2"/>
        <w:spacing w:after="0"/>
        <w:rPr>
          <w:b w:val="0"/>
          <w:sz w:val="22"/>
        </w:rPr>
      </w:pPr>
      <w:r w:rsidRPr="00383B13">
        <w:rPr>
          <w:b w:val="0"/>
          <w:sz w:val="22"/>
          <w:vertAlign w:val="superscript"/>
        </w:rPr>
        <w:lastRenderedPageBreak/>
        <w:t>1</w:t>
      </w:r>
      <w:r w:rsidRPr="00383B13">
        <w:rPr>
          <w:b w:val="0"/>
          <w:sz w:val="22"/>
        </w:rPr>
        <w:t xml:space="preserve"> Im Quartierplan ist eine Wohn- und Geschäftsnutzung im Sinne von § 21 Abs. 2 RBG zulässig</w:t>
      </w:r>
      <w:r w:rsidRPr="00383B13">
        <w:rPr>
          <w:b w:val="0"/>
          <w:sz w:val="22"/>
          <w:vertAlign w:val="superscript"/>
        </w:rPr>
        <w:endnoteReference w:id="2"/>
      </w:r>
      <w:r w:rsidRPr="00383B13">
        <w:rPr>
          <w:b w:val="0"/>
          <w:sz w:val="22"/>
        </w:rPr>
        <w:t>.</w:t>
      </w:r>
    </w:p>
    <w:p w:rsidR="00383B13" w:rsidRPr="00383B13" w:rsidRDefault="00383B13" w:rsidP="0015645B">
      <w:pPr>
        <w:pStyle w:val="berschrift2"/>
        <w:spacing w:after="0"/>
        <w:rPr>
          <w:b w:val="0"/>
          <w:sz w:val="22"/>
        </w:rPr>
      </w:pPr>
    </w:p>
    <w:p w:rsidR="00383B13" w:rsidRDefault="00383B13" w:rsidP="0015645B">
      <w:pPr>
        <w:pStyle w:val="berschrift2"/>
        <w:spacing w:after="0"/>
        <w:rPr>
          <w:b w:val="0"/>
          <w:sz w:val="22"/>
        </w:rPr>
      </w:pPr>
      <w:r w:rsidRPr="00383B13">
        <w:rPr>
          <w:b w:val="0"/>
          <w:sz w:val="22"/>
          <w:vertAlign w:val="superscript"/>
        </w:rPr>
        <w:t>2</w:t>
      </w:r>
      <w:r w:rsidRPr="00383B13">
        <w:rPr>
          <w:b w:val="0"/>
          <w:sz w:val="22"/>
        </w:rPr>
        <w:t xml:space="preserve"> Das Mass der maximal zulässigen, baulichen Nutzung für Hauptbauten wird mittels Ausnützungsziffer</w:t>
      </w:r>
      <w:r w:rsidRPr="00383B13">
        <w:rPr>
          <w:b w:val="0"/>
          <w:sz w:val="22"/>
          <w:vertAlign w:val="superscript"/>
        </w:rPr>
        <w:endnoteReference w:id="3"/>
      </w:r>
      <w:r w:rsidRPr="00383B13">
        <w:rPr>
          <w:b w:val="0"/>
          <w:sz w:val="22"/>
        </w:rPr>
        <w:t xml:space="preserve"> berechnet. Diese beträgt für den Quartierplan 120 %. Für die jeweiligen Baubereiche sind folgende Bruttogeschossflächen zulässig:</w:t>
      </w:r>
    </w:p>
    <w:p w:rsidR="00C97E7F" w:rsidRPr="00C97E7F" w:rsidRDefault="00C97E7F" w:rsidP="00C97E7F">
      <w:bookmarkStart w:id="1" w:name="_GoBack"/>
      <w:bookmarkEnd w:id="1"/>
    </w:p>
    <w:p w:rsidR="00383B13" w:rsidRPr="00383B13" w:rsidRDefault="00383B13" w:rsidP="0015645B">
      <w:pPr>
        <w:pStyle w:val="berschrift2"/>
        <w:spacing w:after="0"/>
        <w:ind w:left="708"/>
        <w:rPr>
          <w:b w:val="0"/>
          <w:sz w:val="22"/>
        </w:rPr>
      </w:pPr>
      <w:r w:rsidRPr="00383B13">
        <w:rPr>
          <w:b w:val="0"/>
          <w:sz w:val="22"/>
        </w:rPr>
        <w:t>Baubereich 1</w:t>
      </w:r>
      <w:r w:rsidRPr="00383B13">
        <w:rPr>
          <w:b w:val="0"/>
          <w:sz w:val="22"/>
        </w:rPr>
        <w:tab/>
      </w:r>
      <w:r w:rsidRPr="00383B13">
        <w:rPr>
          <w:b w:val="0"/>
          <w:sz w:val="22"/>
        </w:rPr>
        <w:tab/>
        <w:t>2000 m</w:t>
      </w:r>
      <w:r w:rsidRPr="00383B13">
        <w:rPr>
          <w:b w:val="0"/>
          <w:sz w:val="22"/>
          <w:vertAlign w:val="superscript"/>
        </w:rPr>
        <w:t>2</w:t>
      </w:r>
      <w:r w:rsidRPr="00383B13">
        <w:rPr>
          <w:b w:val="0"/>
          <w:sz w:val="22"/>
        </w:rPr>
        <w:t xml:space="preserve"> BGF</w:t>
      </w:r>
    </w:p>
    <w:p w:rsidR="00383B13" w:rsidRPr="00383B13" w:rsidRDefault="00383B13" w:rsidP="0015645B">
      <w:pPr>
        <w:pStyle w:val="berschrift2"/>
        <w:spacing w:after="0"/>
        <w:ind w:left="708"/>
        <w:rPr>
          <w:b w:val="0"/>
          <w:sz w:val="22"/>
        </w:rPr>
      </w:pPr>
      <w:r w:rsidRPr="00383B13">
        <w:rPr>
          <w:b w:val="0"/>
          <w:sz w:val="22"/>
        </w:rPr>
        <w:t>Baubereich 2</w:t>
      </w:r>
      <w:r w:rsidRPr="00383B13">
        <w:rPr>
          <w:b w:val="0"/>
          <w:sz w:val="22"/>
        </w:rPr>
        <w:tab/>
      </w:r>
      <w:r w:rsidRPr="00383B13">
        <w:rPr>
          <w:b w:val="0"/>
          <w:sz w:val="22"/>
        </w:rPr>
        <w:tab/>
        <w:t xml:space="preserve">  750 m</w:t>
      </w:r>
      <w:r w:rsidRPr="00383B13">
        <w:rPr>
          <w:b w:val="0"/>
          <w:sz w:val="22"/>
          <w:vertAlign w:val="superscript"/>
        </w:rPr>
        <w:t>2</w:t>
      </w:r>
      <w:r w:rsidRPr="00383B13">
        <w:rPr>
          <w:b w:val="0"/>
          <w:sz w:val="22"/>
        </w:rPr>
        <w:t xml:space="preserve"> BGF</w:t>
      </w:r>
    </w:p>
    <w:p w:rsidR="00383B13" w:rsidRPr="00383B13" w:rsidRDefault="00383B13" w:rsidP="0015645B">
      <w:pPr>
        <w:pStyle w:val="berschrift2"/>
        <w:spacing w:after="0"/>
        <w:rPr>
          <w:b w:val="0"/>
          <w:sz w:val="22"/>
        </w:rPr>
      </w:pPr>
    </w:p>
    <w:p w:rsidR="00383B13" w:rsidRPr="00383B13" w:rsidRDefault="00383B13" w:rsidP="0015645B">
      <w:pPr>
        <w:pStyle w:val="berschrift2"/>
        <w:spacing w:after="0"/>
        <w:rPr>
          <w:b w:val="0"/>
          <w:sz w:val="22"/>
        </w:rPr>
      </w:pPr>
      <w:r w:rsidRPr="00383B13">
        <w:rPr>
          <w:b w:val="0"/>
          <w:sz w:val="22"/>
          <w:vertAlign w:val="superscript"/>
        </w:rPr>
        <w:t>3</w:t>
      </w:r>
      <w:r w:rsidRPr="00383B13">
        <w:rPr>
          <w:b w:val="0"/>
          <w:sz w:val="22"/>
        </w:rPr>
        <w:t xml:space="preserve"> Geringfügige Verschiebungen der Nutzflächen sind innerhalb der festgelegten Baubereiche möglich, sofern das Gesamtkonzept nicht nachteilig verändert und die Gesamtnutzung nicht überschritten wird.</w:t>
      </w:r>
    </w:p>
    <w:p w:rsidR="00383B13" w:rsidRPr="00383B13" w:rsidRDefault="00383B13" w:rsidP="0015645B">
      <w:pPr>
        <w:pStyle w:val="berschrift2"/>
        <w:spacing w:after="0"/>
        <w:rPr>
          <w:b w:val="0"/>
          <w:sz w:val="22"/>
        </w:rPr>
      </w:pPr>
    </w:p>
    <w:p w:rsidR="00383B13" w:rsidRPr="00383B13" w:rsidRDefault="00383B13" w:rsidP="0015645B">
      <w:pPr>
        <w:pStyle w:val="berschrift2"/>
        <w:spacing w:after="0"/>
        <w:rPr>
          <w:b w:val="0"/>
          <w:sz w:val="22"/>
        </w:rPr>
      </w:pPr>
      <w:r w:rsidRPr="00383B13">
        <w:rPr>
          <w:b w:val="0"/>
          <w:sz w:val="22"/>
          <w:vertAlign w:val="superscript"/>
        </w:rPr>
        <w:t>4</w:t>
      </w:r>
      <w:r w:rsidRPr="00383B13">
        <w:rPr>
          <w:b w:val="0"/>
          <w:sz w:val="22"/>
        </w:rPr>
        <w:t xml:space="preserve"> Das Attikageschoss muss bei zwei ganzen Fassaden gegenüber dem darunter </w:t>
      </w:r>
      <w:proofErr w:type="gramStart"/>
      <w:r w:rsidRPr="00383B13">
        <w:rPr>
          <w:b w:val="0"/>
          <w:sz w:val="22"/>
        </w:rPr>
        <w:t>liegenden</w:t>
      </w:r>
      <w:proofErr w:type="gramEnd"/>
      <w:r w:rsidRPr="00383B13">
        <w:rPr>
          <w:b w:val="0"/>
          <w:sz w:val="22"/>
        </w:rPr>
        <w:t xml:space="preserve"> Geschoss um mindestens 5 m zurückversetzt sein und darf maximal 60 % der darunter liegenden Fläche umfassen</w:t>
      </w:r>
      <w:r w:rsidRPr="00383B13">
        <w:rPr>
          <w:b w:val="0"/>
          <w:sz w:val="22"/>
          <w:vertAlign w:val="superscript"/>
        </w:rPr>
        <w:endnoteReference w:id="4"/>
      </w:r>
      <w:r w:rsidRPr="00383B13">
        <w:rPr>
          <w:b w:val="0"/>
          <w:sz w:val="22"/>
        </w:rPr>
        <w:t>.</w:t>
      </w:r>
    </w:p>
    <w:p w:rsidR="00383B13" w:rsidRPr="00383B13" w:rsidRDefault="00383B13" w:rsidP="0015645B">
      <w:pPr>
        <w:pStyle w:val="berschrift2"/>
        <w:spacing w:after="0"/>
        <w:rPr>
          <w:b w:val="0"/>
          <w:sz w:val="22"/>
        </w:rPr>
      </w:pPr>
    </w:p>
    <w:p w:rsidR="00383B13" w:rsidRPr="00383B13" w:rsidRDefault="00383B13" w:rsidP="0015645B">
      <w:pPr>
        <w:pStyle w:val="berschrift2"/>
        <w:spacing w:after="0"/>
        <w:rPr>
          <w:b w:val="0"/>
          <w:sz w:val="22"/>
        </w:rPr>
      </w:pPr>
      <w:r w:rsidRPr="00383B13">
        <w:rPr>
          <w:b w:val="0"/>
          <w:sz w:val="22"/>
          <w:vertAlign w:val="superscript"/>
        </w:rPr>
        <w:t>5</w:t>
      </w:r>
      <w:r w:rsidRPr="00383B13">
        <w:rPr>
          <w:b w:val="0"/>
          <w:sz w:val="22"/>
        </w:rPr>
        <w:t xml:space="preserve"> Kleinbauten sind nur in den dafür vorgesehenen Bereichen zulässig. Sie richten sich nach § 57 Abs. 1 IVHB RBV. Die maximale Fassadenhöhe beträgt 2.5 m, die Gebäudehöhe 3.0 m. Bei Flachdächern gilt die Fassadenhöhe zugleich als Gebäudehöhe. Eine Kleinbaute darf maximal 25 m</w:t>
      </w:r>
      <w:r w:rsidRPr="00383B13">
        <w:rPr>
          <w:b w:val="0"/>
          <w:sz w:val="22"/>
          <w:vertAlign w:val="superscript"/>
        </w:rPr>
        <w:t>2</w:t>
      </w:r>
      <w:r w:rsidRPr="00383B13">
        <w:rPr>
          <w:b w:val="0"/>
          <w:sz w:val="22"/>
        </w:rPr>
        <w:t xml:space="preserve"> Grundfläche umfassen, die Summe der Grundflächen aller Kleinbauten nicht mehr als 100 m</w:t>
      </w:r>
      <w:r w:rsidRPr="00383B13">
        <w:rPr>
          <w:b w:val="0"/>
          <w:sz w:val="22"/>
          <w:vertAlign w:val="superscript"/>
        </w:rPr>
        <w:t>2</w:t>
      </w:r>
      <w:r w:rsidRPr="00383B13">
        <w:rPr>
          <w:b w:val="0"/>
          <w:sz w:val="22"/>
        </w:rPr>
        <w:t>.</w:t>
      </w:r>
    </w:p>
    <w:p w:rsidR="00383B13" w:rsidRPr="00383B13" w:rsidRDefault="00383B13" w:rsidP="0015645B">
      <w:pPr>
        <w:pStyle w:val="berschrift2"/>
        <w:spacing w:after="0"/>
        <w:rPr>
          <w:b w:val="0"/>
          <w:sz w:val="22"/>
        </w:rPr>
      </w:pPr>
    </w:p>
    <w:p w:rsidR="00383B13" w:rsidRPr="00383B13" w:rsidRDefault="00383B13" w:rsidP="0015645B">
      <w:pPr>
        <w:pStyle w:val="berschrift2"/>
        <w:spacing w:after="0"/>
        <w:rPr>
          <w:b w:val="0"/>
          <w:sz w:val="22"/>
        </w:rPr>
      </w:pPr>
      <w:r w:rsidRPr="00383B13">
        <w:rPr>
          <w:b w:val="0"/>
          <w:sz w:val="22"/>
          <w:vertAlign w:val="superscript"/>
        </w:rPr>
        <w:t>6</w:t>
      </w:r>
      <w:r w:rsidRPr="00383B13">
        <w:rPr>
          <w:b w:val="0"/>
          <w:sz w:val="22"/>
        </w:rPr>
        <w:t xml:space="preserve"> Für die Terraingestaltung sind die Schnitte im Quartierplan massgebend. Abweichungen vom Terrainverlauf, als Aufschüttungen oder Abgrabungen, sind bis zu einem Mass von 50 cm zulässig.</w:t>
      </w:r>
    </w:p>
    <w:p w:rsidR="00383B13" w:rsidRPr="00383B13" w:rsidRDefault="00383B13" w:rsidP="0015645B">
      <w:pPr>
        <w:pStyle w:val="berschrift2"/>
        <w:spacing w:after="0"/>
        <w:rPr>
          <w:b w:val="0"/>
          <w:sz w:val="22"/>
        </w:rPr>
      </w:pPr>
    </w:p>
    <w:p w:rsidR="007910A0" w:rsidRPr="00DE4BED" w:rsidRDefault="00DE4BED" w:rsidP="0015645B">
      <w:pPr>
        <w:pStyle w:val="berschrift2"/>
      </w:pPr>
      <w:r w:rsidRPr="00DE4BED">
        <w:t xml:space="preserve">§ </w:t>
      </w:r>
      <w:r w:rsidR="00C770F6">
        <w:t>5</w:t>
      </w:r>
      <w:r w:rsidR="00C770F6">
        <w:tab/>
      </w:r>
      <w:r w:rsidR="00383B13" w:rsidRPr="00661A14">
        <w:t>Nutzung und Gestaltung de</w:t>
      </w:r>
      <w:r w:rsidR="00383B13">
        <w:t>r</w:t>
      </w:r>
      <w:r w:rsidR="00383B13" w:rsidRPr="00661A14">
        <w:t xml:space="preserve"> Aussen</w:t>
      </w:r>
      <w:r w:rsidR="00383B13">
        <w:t>- und Frei</w:t>
      </w:r>
      <w:r w:rsidR="00383B13" w:rsidRPr="00661A14">
        <w:t>r</w:t>
      </w:r>
      <w:r w:rsidR="00383B13">
        <w:t>ä</w:t>
      </w:r>
      <w:r w:rsidR="00383B13" w:rsidRPr="00661A14">
        <w:t>ume</w:t>
      </w:r>
      <w:r w:rsidR="00383B13">
        <w:rPr>
          <w:rStyle w:val="Endnotenzeichen"/>
        </w:rPr>
        <w:endnoteReference w:id="5"/>
      </w:r>
    </w:p>
    <w:p w:rsidR="00EE6DCB" w:rsidRPr="00EE6DCB" w:rsidRDefault="00EE6DCB" w:rsidP="0015645B">
      <w:pPr>
        <w:pStyle w:val="berschrift2"/>
        <w:spacing w:after="0"/>
        <w:rPr>
          <w:b w:val="0"/>
          <w:sz w:val="22"/>
        </w:rPr>
      </w:pPr>
      <w:r w:rsidRPr="00EE6DCB">
        <w:rPr>
          <w:b w:val="0"/>
          <w:sz w:val="22"/>
          <w:vertAlign w:val="superscript"/>
        </w:rPr>
        <w:t>1</w:t>
      </w:r>
      <w:r w:rsidRPr="00EE6DCB">
        <w:rPr>
          <w:b w:val="0"/>
          <w:sz w:val="22"/>
        </w:rPr>
        <w:t xml:space="preserve"> Die Gestaltung der Aussen- und Freiräume wird durch den Quartierplan bestimmt. Für die Bepflanzung sind standortgerechte einheimische Arten vorzusehen.</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2</w:t>
      </w:r>
      <w:r w:rsidRPr="00EE6DCB">
        <w:rPr>
          <w:b w:val="0"/>
          <w:sz w:val="22"/>
        </w:rPr>
        <w:t xml:space="preserve"> Grün- und Freiflächen sind ansprechend zu gestalten und zu pflegen. Sie sind grundsätzlich vor Überbauung freizuhalten.</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3</w:t>
      </w:r>
      <w:r w:rsidRPr="00EE6DCB">
        <w:rPr>
          <w:b w:val="0"/>
          <w:sz w:val="22"/>
        </w:rPr>
        <w:t xml:space="preserve"> Im Bereich für private Freiflächen dürfen die Grün- und Freiflächen den einzelnen Wohnungen zugewiesen werden. In ihnen sind nur übliche Gartengestaltungsmassnahmen zulässig.</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4</w:t>
      </w:r>
      <w:r w:rsidRPr="00EE6DCB">
        <w:rPr>
          <w:b w:val="0"/>
          <w:sz w:val="22"/>
        </w:rPr>
        <w:t xml:space="preserve"> Die ökologische Ausgleichsfläche ist im Sinne des Naturschutzes zu bepflanzen und zu unterhalten. Allfällige Ersatzpflanzungen sind frühzeitig vorzunehmen.</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5</w:t>
      </w:r>
      <w:r w:rsidRPr="00EE6DCB">
        <w:rPr>
          <w:b w:val="0"/>
          <w:sz w:val="22"/>
        </w:rPr>
        <w:t xml:space="preserve"> Im Bereich für Spielplatz ist ein Quartierspielplatz mit kindergerechter Ausstattung und Erlebnisräumen, Sitzgelegenheiten und Beschattung zu erstellen. Der Spielplatz steht auch der benachbarten Anwohnerschaft offen.</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6</w:t>
      </w:r>
      <w:r w:rsidRPr="00EE6DCB">
        <w:rPr>
          <w:b w:val="0"/>
          <w:sz w:val="22"/>
        </w:rPr>
        <w:t xml:space="preserve"> Der befestigte Vorplatz dient als Begegnungsfläche und der Erschliessung mit dem Langsamverkehr.</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7</w:t>
      </w:r>
      <w:r w:rsidRPr="00EE6DCB">
        <w:rPr>
          <w:b w:val="0"/>
          <w:sz w:val="22"/>
        </w:rPr>
        <w:t xml:space="preserve"> Wege und Plätze sind soweit möglich und technisch sinnvoll wasserdurchlässig auszugestalten.</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8</w:t>
      </w:r>
      <w:r w:rsidRPr="00EE6DCB">
        <w:rPr>
          <w:b w:val="0"/>
          <w:sz w:val="22"/>
        </w:rPr>
        <w:t xml:space="preserve"> An den im Quartierplan vorgesehenen Baumstandorten sind kronenbildende einheimische Hochstammbäume zu pflanzen.</w:t>
      </w:r>
    </w:p>
    <w:p w:rsidR="00EE6DCB" w:rsidRPr="00EE6DCB" w:rsidRDefault="00EE6DCB" w:rsidP="0015645B">
      <w:pPr>
        <w:pStyle w:val="berschrift2"/>
        <w:spacing w:after="0"/>
        <w:rPr>
          <w:b w:val="0"/>
          <w:sz w:val="22"/>
        </w:rPr>
      </w:pPr>
    </w:p>
    <w:p w:rsidR="001B63A1" w:rsidRPr="000A7CB6" w:rsidRDefault="00DE4BED" w:rsidP="0015645B">
      <w:pPr>
        <w:pStyle w:val="berschrift2"/>
      </w:pPr>
      <w:r>
        <w:t xml:space="preserve">§ </w:t>
      </w:r>
      <w:r w:rsidR="00C770F6">
        <w:t>6</w:t>
      </w:r>
      <w:r w:rsidR="00C770F6">
        <w:tab/>
      </w:r>
      <w:r w:rsidR="00EE6DCB" w:rsidRPr="00661A14">
        <w:t>Erschliessung</w:t>
      </w:r>
    </w:p>
    <w:p w:rsidR="00EE6DCB" w:rsidRPr="00EE6DCB" w:rsidRDefault="00EE6DCB" w:rsidP="0015645B">
      <w:pPr>
        <w:pStyle w:val="berschrift2"/>
        <w:spacing w:after="0"/>
        <w:rPr>
          <w:b w:val="0"/>
          <w:sz w:val="22"/>
        </w:rPr>
      </w:pPr>
      <w:r w:rsidRPr="00EE6DCB">
        <w:rPr>
          <w:b w:val="0"/>
          <w:sz w:val="22"/>
          <w:vertAlign w:val="superscript"/>
        </w:rPr>
        <w:t>1</w:t>
      </w:r>
      <w:r w:rsidRPr="00EE6DCB">
        <w:rPr>
          <w:b w:val="0"/>
          <w:sz w:val="22"/>
        </w:rPr>
        <w:t xml:space="preserve"> Die grundsätzliche Lage der Erschliessungsanlagen ist im Quartierplan festgelegt.</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lastRenderedPageBreak/>
        <w:t>2</w:t>
      </w:r>
      <w:r w:rsidRPr="00EE6DCB">
        <w:rPr>
          <w:b w:val="0"/>
          <w:sz w:val="22"/>
        </w:rPr>
        <w:t xml:space="preserve"> Die erforderlichen Abstellplätze sind – mit Ausnahme der Besucherparkplätze – in einer unterirdischen Einstellhalle zu erstellen. Die oberirdischen Besucherparkplätze sind mit wasserdurchlässigen Belägen zu versehen.</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3</w:t>
      </w:r>
      <w:r w:rsidRPr="00EE6DCB">
        <w:rPr>
          <w:b w:val="0"/>
          <w:sz w:val="22"/>
        </w:rPr>
        <w:t xml:space="preserve"> Veloabstellplätze sind in ausreichender Anzahl an geeigneten Orten bzw. im Eingangsbereich der Hauptbauten zu erstellen.</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 xml:space="preserve">4 </w:t>
      </w:r>
      <w:r w:rsidRPr="00EE6DCB">
        <w:rPr>
          <w:b w:val="0"/>
          <w:sz w:val="22"/>
        </w:rPr>
        <w:t>Die Anzahl der erforderlichen Abstellplätze für Autos und Velos richtet sich nach den kantonalen Bestimmungen, insbesondere Anhang 11/1 und 11/2 RBV, bzw. nach der Wegleitung zur Bestimmung der Anzahl Abstellplätze für Personenwagen und Velos/Mofas.</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5</w:t>
      </w:r>
      <w:r w:rsidRPr="00EE6DCB">
        <w:rPr>
          <w:b w:val="0"/>
          <w:sz w:val="22"/>
        </w:rPr>
        <w:t xml:space="preserve"> Für Notzufahrten (Feuerwehr, Sanität, Umzüge) dient der befestigte Vorplatz. Sie sind bis vor die Hauszugänge sicherzustellen.</w:t>
      </w:r>
    </w:p>
    <w:p w:rsidR="00EE6DCB" w:rsidRPr="00EE6DCB" w:rsidRDefault="00EE6DCB" w:rsidP="0015645B">
      <w:pPr>
        <w:pStyle w:val="berschrift2"/>
        <w:spacing w:after="0"/>
        <w:rPr>
          <w:b w:val="0"/>
          <w:sz w:val="22"/>
        </w:rPr>
      </w:pPr>
    </w:p>
    <w:p w:rsidR="00646367" w:rsidRPr="000A7CB6" w:rsidRDefault="00646367" w:rsidP="0015645B">
      <w:pPr>
        <w:pStyle w:val="berschrift2"/>
      </w:pPr>
      <w:r>
        <w:t xml:space="preserve">§ </w:t>
      </w:r>
      <w:r w:rsidR="00C770F6">
        <w:t>7</w:t>
      </w:r>
      <w:r w:rsidR="00C770F6">
        <w:tab/>
      </w:r>
      <w:proofErr w:type="spellStart"/>
      <w:r w:rsidR="00EE6DCB" w:rsidRPr="00661A14">
        <w:t>Ver</w:t>
      </w:r>
      <w:proofErr w:type="spellEnd"/>
      <w:r w:rsidR="00EE6DCB" w:rsidRPr="00661A14">
        <w:t>- und Entsorgung</w:t>
      </w:r>
    </w:p>
    <w:p w:rsidR="00EE6DCB" w:rsidRPr="00EE6DCB" w:rsidRDefault="00EE6DCB" w:rsidP="0015645B">
      <w:pPr>
        <w:pStyle w:val="berschrift2"/>
        <w:spacing w:after="0"/>
        <w:rPr>
          <w:b w:val="0"/>
          <w:sz w:val="22"/>
        </w:rPr>
      </w:pPr>
      <w:r w:rsidRPr="00EE6DCB">
        <w:rPr>
          <w:b w:val="0"/>
          <w:sz w:val="22"/>
          <w:vertAlign w:val="superscript"/>
        </w:rPr>
        <w:t>1</w:t>
      </w:r>
      <w:r w:rsidRPr="00EE6DCB">
        <w:rPr>
          <w:b w:val="0"/>
          <w:sz w:val="22"/>
        </w:rPr>
        <w:t xml:space="preserve"> Die Entwässerung erfolgt nach dem generellen Entwässerungsplan (GEP) und den Reglementen der Gemeinde sowie dem aktuellen Stand der Technik.</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2</w:t>
      </w:r>
      <w:r w:rsidRPr="00EE6DCB">
        <w:rPr>
          <w:b w:val="0"/>
          <w:sz w:val="22"/>
        </w:rPr>
        <w:t xml:space="preserve"> Für die Abfallbeseitigung gelten die kommunalen Bestimmungen</w:t>
      </w:r>
      <w:r w:rsidRPr="00EE6DCB">
        <w:rPr>
          <w:b w:val="0"/>
          <w:sz w:val="22"/>
          <w:vertAlign w:val="superscript"/>
        </w:rPr>
        <w:endnoteReference w:id="6"/>
      </w:r>
      <w:r w:rsidRPr="00EE6DCB">
        <w:rPr>
          <w:b w:val="0"/>
          <w:sz w:val="22"/>
        </w:rPr>
        <w:t>. Containerstellplätze sind im Quartierplan bezeichnet.</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3</w:t>
      </w:r>
      <w:r w:rsidRPr="00EE6DCB">
        <w:rPr>
          <w:b w:val="0"/>
          <w:sz w:val="22"/>
        </w:rPr>
        <w:t xml:space="preserve"> Für die Wärmeerzeugung ist ein umweltfreundliches und energiesparendes Konzept zu erstellen</w:t>
      </w:r>
      <w:r w:rsidRPr="00EE6DCB">
        <w:rPr>
          <w:b w:val="0"/>
          <w:sz w:val="22"/>
          <w:vertAlign w:val="superscript"/>
        </w:rPr>
        <w:endnoteReference w:id="7"/>
      </w:r>
      <w:r w:rsidRPr="00EE6DCB">
        <w:rPr>
          <w:b w:val="0"/>
          <w:sz w:val="22"/>
        </w:rPr>
        <w:t>.</w:t>
      </w:r>
    </w:p>
    <w:p w:rsidR="00EE6DCB" w:rsidRPr="00EE6DCB" w:rsidRDefault="00EE6DCB" w:rsidP="0015645B">
      <w:pPr>
        <w:pStyle w:val="berschrift2"/>
        <w:spacing w:after="0"/>
        <w:rPr>
          <w:b w:val="0"/>
          <w:sz w:val="22"/>
        </w:rPr>
      </w:pPr>
    </w:p>
    <w:p w:rsidR="00646367" w:rsidRDefault="00646367" w:rsidP="0015645B">
      <w:pPr>
        <w:pStyle w:val="berschrift2"/>
      </w:pPr>
      <w:r>
        <w:t xml:space="preserve">§ </w:t>
      </w:r>
      <w:r w:rsidR="00C770F6">
        <w:t>8</w:t>
      </w:r>
      <w:r w:rsidR="00C770F6">
        <w:tab/>
      </w:r>
      <w:r w:rsidR="00EE6DCB" w:rsidRPr="00661A14">
        <w:t>Lärmschutz</w:t>
      </w:r>
    </w:p>
    <w:p w:rsidR="00EE6DCB" w:rsidRPr="00EE6DCB" w:rsidRDefault="00EE6DCB" w:rsidP="0015645B">
      <w:pPr>
        <w:rPr>
          <w:rFonts w:ascii="Arial" w:hAnsi="Arial"/>
          <w:sz w:val="22"/>
        </w:rPr>
      </w:pPr>
      <w:r w:rsidRPr="00EE6DCB">
        <w:rPr>
          <w:rFonts w:ascii="Arial" w:hAnsi="Arial"/>
          <w:sz w:val="22"/>
        </w:rPr>
        <w:t>Für das Quartierplanareal gilt die Lärmempfindlichkeitsstufe II.</w:t>
      </w:r>
    </w:p>
    <w:p w:rsidR="00EE6DCB" w:rsidRPr="00EE6DCB" w:rsidRDefault="00EE6DCB" w:rsidP="0015645B">
      <w:pPr>
        <w:rPr>
          <w:rFonts w:ascii="Arial" w:hAnsi="Arial"/>
          <w:sz w:val="22"/>
        </w:rPr>
      </w:pPr>
    </w:p>
    <w:p w:rsidR="00405B82" w:rsidRDefault="00405B82" w:rsidP="0015645B">
      <w:pPr>
        <w:spacing w:after="120"/>
        <w:rPr>
          <w:rFonts w:ascii="Arial" w:hAnsi="Arial"/>
          <w:b/>
        </w:rPr>
      </w:pPr>
      <w:r>
        <w:rPr>
          <w:rFonts w:ascii="Arial" w:hAnsi="Arial"/>
          <w:b/>
        </w:rPr>
        <w:t xml:space="preserve">§ </w:t>
      </w:r>
      <w:r w:rsidR="00C770F6">
        <w:rPr>
          <w:rFonts w:ascii="Arial" w:hAnsi="Arial"/>
          <w:b/>
        </w:rPr>
        <w:t>9</w:t>
      </w:r>
      <w:r w:rsidR="00C770F6">
        <w:rPr>
          <w:rFonts w:ascii="Arial" w:hAnsi="Arial"/>
          <w:b/>
        </w:rPr>
        <w:tab/>
      </w:r>
      <w:r w:rsidR="00EE6DCB" w:rsidRPr="00EE6DCB">
        <w:rPr>
          <w:rFonts w:ascii="Arial" w:hAnsi="Arial"/>
          <w:b/>
        </w:rPr>
        <w:t>Realisierung</w:t>
      </w:r>
    </w:p>
    <w:p w:rsidR="00EE6DCB" w:rsidRPr="00EE6DCB" w:rsidRDefault="00EE6DCB" w:rsidP="0015645B">
      <w:pPr>
        <w:pStyle w:val="berschrift2"/>
        <w:spacing w:after="0"/>
        <w:rPr>
          <w:b w:val="0"/>
          <w:sz w:val="22"/>
        </w:rPr>
      </w:pPr>
      <w:r w:rsidRPr="00EE6DCB">
        <w:rPr>
          <w:b w:val="0"/>
          <w:sz w:val="22"/>
          <w:vertAlign w:val="superscript"/>
        </w:rPr>
        <w:t>1</w:t>
      </w:r>
      <w:r w:rsidRPr="00EE6DCB">
        <w:rPr>
          <w:b w:val="0"/>
          <w:sz w:val="22"/>
        </w:rPr>
        <w:t xml:space="preserve"> Eine spätere Parzellierung des Areals ist zulässig, sofern die Verwirklichung und Zielsetzung der Quartierplanung nicht verändert bzw. in Frage gestellt wird.</w:t>
      </w:r>
    </w:p>
    <w:p w:rsidR="00EE6DCB" w:rsidRPr="00EE6DCB" w:rsidRDefault="00EE6DCB" w:rsidP="0015645B">
      <w:pPr>
        <w:pStyle w:val="berschrift2"/>
        <w:spacing w:after="0"/>
        <w:rPr>
          <w:b w:val="0"/>
          <w:sz w:val="22"/>
        </w:rPr>
      </w:pPr>
    </w:p>
    <w:p w:rsidR="00EE6DCB" w:rsidRPr="00EE6DCB" w:rsidRDefault="00EE6DCB" w:rsidP="0015645B">
      <w:pPr>
        <w:pStyle w:val="berschrift2"/>
        <w:spacing w:after="0"/>
        <w:rPr>
          <w:b w:val="0"/>
          <w:sz w:val="22"/>
        </w:rPr>
      </w:pPr>
      <w:r w:rsidRPr="00EE6DCB">
        <w:rPr>
          <w:b w:val="0"/>
          <w:sz w:val="22"/>
          <w:vertAlign w:val="superscript"/>
        </w:rPr>
        <w:t>2</w:t>
      </w:r>
      <w:r w:rsidRPr="00EE6DCB">
        <w:rPr>
          <w:b w:val="0"/>
          <w:sz w:val="22"/>
        </w:rPr>
        <w:t xml:space="preserve"> Wird die Überbauung etappenweise realisiert, so sind die Nebenanlagen wie Parkierung, Aussen- und Freiräume, Zufahrten und Wege usw. anteilsmässig so zu erstellen, dass der Bedarf in der jeweiligen Etappe gedeckt ist und eine spätere Realisierung der gesamten Überbauung nicht erschwert wird.</w:t>
      </w:r>
    </w:p>
    <w:p w:rsidR="00EE6DCB" w:rsidRPr="00EE6DCB" w:rsidRDefault="00EE6DCB" w:rsidP="0015645B">
      <w:pPr>
        <w:pStyle w:val="berschrift2"/>
        <w:spacing w:after="0"/>
        <w:rPr>
          <w:b w:val="0"/>
          <w:sz w:val="22"/>
        </w:rPr>
      </w:pPr>
    </w:p>
    <w:p w:rsidR="00646367" w:rsidRPr="00952D23" w:rsidRDefault="00646367" w:rsidP="0015645B">
      <w:pPr>
        <w:pStyle w:val="berschrift2"/>
      </w:pPr>
      <w:r w:rsidRPr="00952D23">
        <w:t xml:space="preserve">§ </w:t>
      </w:r>
      <w:r w:rsidR="00C770F6">
        <w:t>10</w:t>
      </w:r>
      <w:r w:rsidR="00C770F6">
        <w:tab/>
      </w:r>
      <w:r w:rsidR="00EE6DCB">
        <w:t>Ausnahmen</w:t>
      </w:r>
    </w:p>
    <w:p w:rsidR="00EE6DCB" w:rsidRPr="00EE6DCB" w:rsidRDefault="00EE6DCB" w:rsidP="0015645B">
      <w:pPr>
        <w:rPr>
          <w:rFonts w:ascii="Arial" w:hAnsi="Arial"/>
          <w:sz w:val="22"/>
          <w:szCs w:val="22"/>
        </w:rPr>
      </w:pPr>
      <w:r w:rsidRPr="00EE6DCB">
        <w:rPr>
          <w:rFonts w:ascii="Arial" w:hAnsi="Arial"/>
          <w:sz w:val="22"/>
          <w:szCs w:val="22"/>
          <w:vertAlign w:val="superscript"/>
        </w:rPr>
        <w:t>1</w:t>
      </w:r>
      <w:r w:rsidRPr="00EE6DCB">
        <w:rPr>
          <w:rFonts w:ascii="Arial" w:hAnsi="Arial"/>
          <w:sz w:val="22"/>
          <w:szCs w:val="22"/>
        </w:rPr>
        <w:t xml:space="preserve"> In Abwägung öffentlicher und privater Interessen sowie in Würdigung der besonderen Umstände des Einzelfalls kann der Gemeinderat der Baubewilligungsbehörde schriftlich begründet Ausnahmen von diesen Quartierplanvorschriften beantragen.</w:t>
      </w:r>
    </w:p>
    <w:p w:rsidR="00EE6DCB" w:rsidRPr="00EE6DCB" w:rsidRDefault="00EE6DCB" w:rsidP="0015645B">
      <w:pPr>
        <w:rPr>
          <w:rFonts w:ascii="Arial" w:hAnsi="Arial"/>
          <w:sz w:val="22"/>
          <w:szCs w:val="22"/>
        </w:rPr>
      </w:pPr>
    </w:p>
    <w:p w:rsidR="00EE6DCB" w:rsidRPr="00EE6DCB" w:rsidRDefault="00EE6DCB" w:rsidP="0015645B">
      <w:pPr>
        <w:rPr>
          <w:rFonts w:ascii="Arial" w:hAnsi="Arial"/>
          <w:sz w:val="22"/>
          <w:szCs w:val="22"/>
        </w:rPr>
      </w:pPr>
      <w:r w:rsidRPr="00EE6DCB">
        <w:rPr>
          <w:rFonts w:ascii="Arial" w:hAnsi="Arial"/>
          <w:sz w:val="22"/>
          <w:szCs w:val="22"/>
          <w:vertAlign w:val="superscript"/>
        </w:rPr>
        <w:t>2</w:t>
      </w:r>
      <w:r w:rsidRPr="00EE6DCB">
        <w:rPr>
          <w:rFonts w:ascii="Arial" w:hAnsi="Arial"/>
          <w:sz w:val="22"/>
          <w:szCs w:val="22"/>
        </w:rPr>
        <w:t xml:space="preserve"> Voraussetzung dafür ist, dass kein Widerspruch zum Zweck und den Zielsetzungen der Planung gemäss Ziffer 1 vorliegt. Charakter und Konzept der Überbauung bzw. der Gestaltung der Aussen- und Freiräume dürfen durch die Ausnahmen nicht beeinträchtigt werden</w:t>
      </w:r>
      <w:r w:rsidRPr="00EE6DCB">
        <w:rPr>
          <w:rFonts w:ascii="Arial" w:hAnsi="Arial"/>
          <w:sz w:val="22"/>
          <w:szCs w:val="22"/>
          <w:vertAlign w:val="superscript"/>
        </w:rPr>
        <w:endnoteReference w:id="8"/>
      </w:r>
      <w:r w:rsidRPr="00EE6DCB">
        <w:rPr>
          <w:rFonts w:ascii="Arial" w:hAnsi="Arial"/>
          <w:sz w:val="22"/>
          <w:szCs w:val="22"/>
        </w:rPr>
        <w:t>. Das Baubewilligungsverfahren bleibt vorbehalten.</w:t>
      </w:r>
    </w:p>
    <w:p w:rsidR="00EE6DCB" w:rsidRPr="00EE6DCB" w:rsidRDefault="00EE6DCB" w:rsidP="0015645B">
      <w:pPr>
        <w:rPr>
          <w:rFonts w:ascii="Arial" w:hAnsi="Arial"/>
          <w:sz w:val="22"/>
          <w:szCs w:val="22"/>
        </w:rPr>
      </w:pPr>
    </w:p>
    <w:p w:rsidR="007910A0" w:rsidRDefault="00C2027F" w:rsidP="0015645B">
      <w:pPr>
        <w:spacing w:after="120"/>
        <w:rPr>
          <w:rFonts w:ascii="Arial" w:hAnsi="Arial"/>
          <w:b/>
        </w:rPr>
      </w:pPr>
      <w:r>
        <w:rPr>
          <w:rFonts w:ascii="Arial" w:hAnsi="Arial"/>
          <w:b/>
        </w:rPr>
        <w:t xml:space="preserve">§ </w:t>
      </w:r>
      <w:r w:rsidR="00C770F6">
        <w:rPr>
          <w:rFonts w:ascii="Arial" w:hAnsi="Arial"/>
          <w:b/>
        </w:rPr>
        <w:t>11</w:t>
      </w:r>
      <w:r w:rsidR="00C770F6">
        <w:rPr>
          <w:rFonts w:ascii="Arial" w:hAnsi="Arial"/>
          <w:b/>
        </w:rPr>
        <w:tab/>
      </w:r>
      <w:r w:rsidR="00EE6DCB" w:rsidRPr="00EE6DCB">
        <w:rPr>
          <w:rFonts w:ascii="Arial" w:hAnsi="Arial"/>
          <w:b/>
        </w:rPr>
        <w:t>Schlussbestimmungen</w:t>
      </w:r>
    </w:p>
    <w:p w:rsidR="00EE6DCB" w:rsidRPr="00EE6DCB" w:rsidRDefault="00EE6DCB" w:rsidP="0015645B">
      <w:pPr>
        <w:rPr>
          <w:rFonts w:ascii="Arial" w:hAnsi="Arial"/>
          <w:sz w:val="22"/>
        </w:rPr>
      </w:pPr>
      <w:r w:rsidRPr="00EE6DCB">
        <w:rPr>
          <w:rFonts w:ascii="Arial" w:hAnsi="Arial"/>
          <w:sz w:val="22"/>
          <w:vertAlign w:val="superscript"/>
        </w:rPr>
        <w:t>1</w:t>
      </w:r>
      <w:r w:rsidRPr="00EE6DCB">
        <w:rPr>
          <w:rFonts w:ascii="Arial" w:hAnsi="Arial"/>
          <w:sz w:val="22"/>
        </w:rPr>
        <w:t xml:space="preserve"> Der Gemeinderat überwacht die Anwendung dieser Quartierplanvorschriften. Das Baubewilligungsverfahren gemäss § 120 ff. RBG bzw. § 86 ff. RBV bleibt vorbehalten</w:t>
      </w:r>
      <w:r w:rsidRPr="00EE6DCB">
        <w:rPr>
          <w:rFonts w:ascii="Arial" w:hAnsi="Arial"/>
          <w:sz w:val="22"/>
          <w:vertAlign w:val="superscript"/>
        </w:rPr>
        <w:endnoteReference w:id="9"/>
      </w:r>
      <w:r w:rsidRPr="00EE6DCB">
        <w:rPr>
          <w:rFonts w:ascii="Arial" w:hAnsi="Arial"/>
          <w:sz w:val="22"/>
        </w:rPr>
        <w:t>.</w:t>
      </w:r>
    </w:p>
    <w:p w:rsidR="00EE6DCB" w:rsidRPr="00EE6DCB" w:rsidRDefault="00EE6DCB" w:rsidP="0015645B">
      <w:pPr>
        <w:rPr>
          <w:rFonts w:ascii="Arial" w:hAnsi="Arial"/>
          <w:sz w:val="22"/>
        </w:rPr>
      </w:pPr>
    </w:p>
    <w:p w:rsidR="00EE6DCB" w:rsidRPr="00EE6DCB" w:rsidRDefault="00EE6DCB" w:rsidP="0015645B">
      <w:pPr>
        <w:rPr>
          <w:rFonts w:ascii="Arial" w:hAnsi="Arial"/>
          <w:sz w:val="22"/>
        </w:rPr>
      </w:pPr>
      <w:r w:rsidRPr="00EE6DCB">
        <w:rPr>
          <w:rFonts w:ascii="Arial" w:hAnsi="Arial"/>
          <w:sz w:val="22"/>
          <w:vertAlign w:val="superscript"/>
        </w:rPr>
        <w:t>2</w:t>
      </w:r>
      <w:r w:rsidRPr="00EE6DCB">
        <w:rPr>
          <w:rFonts w:ascii="Arial" w:hAnsi="Arial"/>
          <w:sz w:val="22"/>
        </w:rPr>
        <w:t xml:space="preserve"> Alle im Widerspruch zu den Quartierplanvorschriften stehenden früheren Vorschriften gelten für das Areal innerhalb des Quartierplanperimeters als aufgehoben.</w:t>
      </w:r>
    </w:p>
    <w:p w:rsidR="00EE6DCB" w:rsidRPr="00EE6DCB" w:rsidRDefault="00EE6DCB" w:rsidP="0015645B">
      <w:pPr>
        <w:rPr>
          <w:rFonts w:ascii="Arial" w:hAnsi="Arial"/>
          <w:sz w:val="22"/>
        </w:rPr>
      </w:pPr>
    </w:p>
    <w:p w:rsidR="003D1BEB" w:rsidRDefault="00EE6DCB" w:rsidP="0015645B">
      <w:pPr>
        <w:rPr>
          <w:rFonts w:ascii="Arial" w:hAnsi="Arial"/>
          <w:sz w:val="22"/>
        </w:rPr>
      </w:pPr>
      <w:r w:rsidRPr="00EE6DCB">
        <w:rPr>
          <w:rFonts w:ascii="Arial" w:hAnsi="Arial"/>
          <w:sz w:val="22"/>
          <w:vertAlign w:val="superscript"/>
        </w:rPr>
        <w:t>3</w:t>
      </w:r>
      <w:r w:rsidRPr="00EE6DCB">
        <w:rPr>
          <w:rFonts w:ascii="Arial" w:hAnsi="Arial"/>
          <w:sz w:val="22"/>
        </w:rPr>
        <w:t xml:space="preserve"> Die Quartierplanvorschriften treten mit der Genehmigung durch den Regierungsrat in Rechtskraft.</w:t>
      </w:r>
    </w:p>
    <w:p w:rsidR="00EE6DCB" w:rsidRPr="009B22AF" w:rsidRDefault="00EE6DCB" w:rsidP="0015645B">
      <w:pPr>
        <w:rPr>
          <w:rFonts w:ascii="Arial" w:hAnsi="Arial"/>
          <w:sz w:val="22"/>
        </w:rPr>
      </w:pPr>
    </w:p>
    <w:p w:rsidR="005B1547" w:rsidRDefault="005B1547" w:rsidP="0015645B">
      <w:pPr>
        <w:rPr>
          <w:rFonts w:ascii="Arial" w:hAnsi="Arial"/>
          <w:sz w:val="22"/>
        </w:rPr>
      </w:pPr>
    </w:p>
    <w:p w:rsidR="00895560" w:rsidRDefault="00895560" w:rsidP="0015645B">
      <w:pPr>
        <w:rPr>
          <w:rFonts w:ascii="Arial" w:hAnsi="Arial"/>
          <w:sz w:val="22"/>
        </w:rPr>
      </w:pPr>
    </w:p>
    <w:p w:rsidR="00895560" w:rsidRDefault="00EE6DCB" w:rsidP="0015645B">
      <w:pPr>
        <w:rPr>
          <w:rFonts w:ascii="Arial" w:hAnsi="Arial"/>
          <w:sz w:val="22"/>
        </w:rPr>
      </w:pPr>
      <w:r>
        <w:rPr>
          <w:rFonts w:ascii="Arial" w:hAnsi="Arial"/>
          <w:sz w:val="22"/>
        </w:rPr>
        <w:t>Februar 2016</w:t>
      </w:r>
      <w:r w:rsidR="00860E3D">
        <w:rPr>
          <w:rFonts w:ascii="Arial" w:hAnsi="Arial"/>
          <w:sz w:val="22"/>
        </w:rPr>
        <w:t>/ARP/</w:t>
      </w:r>
      <w:r w:rsidR="003F55EE">
        <w:rPr>
          <w:rFonts w:ascii="Arial" w:hAnsi="Arial"/>
          <w:sz w:val="22"/>
        </w:rPr>
        <w:t>OP</w:t>
      </w:r>
    </w:p>
    <w:p w:rsidR="00EE6DCB" w:rsidRDefault="00EE6DCB" w:rsidP="0015645B">
      <w:pPr>
        <w:rPr>
          <w:rFonts w:ascii="Arial" w:hAnsi="Arial"/>
          <w:sz w:val="22"/>
        </w:rPr>
      </w:pPr>
    </w:p>
    <w:sectPr w:rsidR="00EE6DCB">
      <w:headerReference w:type="default" r:id="rId11"/>
      <w:footerReference w:type="default" r:id="rId12"/>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23" w:rsidRDefault="00952D23" w:rsidP="00127BD0">
      <w:r>
        <w:separator/>
      </w:r>
    </w:p>
  </w:endnote>
  <w:endnote w:type="continuationSeparator" w:id="0">
    <w:p w:rsidR="00952D23" w:rsidRDefault="00952D23" w:rsidP="00127BD0">
      <w:r>
        <w:continuationSeparator/>
      </w:r>
    </w:p>
  </w:endnote>
  <w:endnote w:type="continuationNotice" w:id="1">
    <w:p w:rsidR="00952D23" w:rsidRDefault="00952D23"/>
  </w:endnote>
  <w:endnote w:id="2">
    <w:p w:rsidR="00383B13" w:rsidRPr="008518D8" w:rsidRDefault="00383B13" w:rsidP="0015645B">
      <w:pPr>
        <w:pStyle w:val="Endnotentext"/>
        <w:jc w:val="left"/>
        <w:rPr>
          <w:i/>
        </w:rPr>
      </w:pPr>
      <w:r w:rsidRPr="008518D8">
        <w:rPr>
          <w:i/>
        </w:rPr>
        <w:t>Kommentar/Hinweis:</w:t>
      </w:r>
    </w:p>
    <w:p w:rsidR="00383B13" w:rsidRDefault="00383B13" w:rsidP="0015645B">
      <w:pPr>
        <w:pStyle w:val="Endnotentext"/>
        <w:jc w:val="left"/>
      </w:pPr>
      <w:r>
        <w:rPr>
          <w:rStyle w:val="Endnotenzeichen"/>
        </w:rPr>
        <w:endnoteRef/>
      </w:r>
      <w:r>
        <w:t xml:space="preserve"> Alternativ können zulässige Nutzungen auch ohne Verweis auf das RBG aufgezählt werden. Dies ist auch pro Baubereich oder differenziert zwischen Erd- und Obergeschosse möglich.</w:t>
      </w:r>
    </w:p>
  </w:endnote>
  <w:endnote w:id="3">
    <w:p w:rsidR="00383B13" w:rsidRDefault="00383B13" w:rsidP="0015645B">
      <w:pPr>
        <w:pStyle w:val="Endnotentext"/>
        <w:jc w:val="left"/>
      </w:pPr>
      <w:r>
        <w:rPr>
          <w:rStyle w:val="Endnotenzeichen"/>
        </w:rPr>
        <w:endnoteRef/>
      </w:r>
      <w:r>
        <w:t xml:space="preserve"> Zulässig für die Bestimmung der baulichen Nutzung sind die in § 18 Abs. 3 RBG umschriebenen Ziffern.</w:t>
      </w:r>
    </w:p>
  </w:endnote>
  <w:endnote w:id="4">
    <w:p w:rsidR="00383B13" w:rsidRDefault="00383B13" w:rsidP="0015645B">
      <w:pPr>
        <w:pStyle w:val="Endnotentext"/>
        <w:jc w:val="left"/>
      </w:pPr>
      <w:r>
        <w:rPr>
          <w:rStyle w:val="Endnotenzeichen"/>
        </w:rPr>
        <w:endnoteRef/>
      </w:r>
      <w:r>
        <w:t xml:space="preserve"> vgl. auch § 52i IVHB RBV</w:t>
      </w:r>
    </w:p>
  </w:endnote>
  <w:endnote w:id="5">
    <w:p w:rsidR="00383B13" w:rsidRDefault="00383B13" w:rsidP="0015645B">
      <w:pPr>
        <w:pStyle w:val="Endnotentext"/>
        <w:jc w:val="left"/>
      </w:pPr>
      <w:r>
        <w:rPr>
          <w:rStyle w:val="Endnotenzeichen"/>
        </w:rPr>
        <w:endnoteRef/>
      </w:r>
      <w:r>
        <w:t xml:space="preserve"> Die Umsetzung der verbindlichen Vorschriften der Gestaltung der Aussen- und Freiräume ist im Baugesuchsverfahren nachzuweisen.</w:t>
      </w:r>
    </w:p>
  </w:endnote>
  <w:endnote w:id="6">
    <w:p w:rsidR="00EE6DCB" w:rsidRDefault="00EE6DCB" w:rsidP="0015645B">
      <w:pPr>
        <w:pStyle w:val="Endnotentext"/>
        <w:jc w:val="left"/>
      </w:pPr>
      <w:r>
        <w:rPr>
          <w:rStyle w:val="Endnotenzeichen"/>
        </w:rPr>
        <w:endnoteRef/>
      </w:r>
      <w:r>
        <w:t xml:space="preserve"> Auf bestehende </w:t>
      </w:r>
      <w:proofErr w:type="spellStart"/>
      <w:r>
        <w:t>Abfallreglemente</w:t>
      </w:r>
      <w:proofErr w:type="spellEnd"/>
      <w:r>
        <w:t xml:space="preserve"> der Gemeinde kann verwiesen werden.</w:t>
      </w:r>
    </w:p>
  </w:endnote>
  <w:endnote w:id="7">
    <w:p w:rsidR="00EE6DCB" w:rsidRDefault="00EE6DCB" w:rsidP="0015645B">
      <w:pPr>
        <w:pStyle w:val="Endnotentext"/>
        <w:jc w:val="left"/>
      </w:pPr>
      <w:r>
        <w:rPr>
          <w:rStyle w:val="Endnotenzeichen"/>
        </w:rPr>
        <w:endnoteRef/>
      </w:r>
      <w:r>
        <w:t xml:space="preserve"> In Quartierplanvorschriften können auch ein Anschluss an einen Wärmeverbund und andere Regelungen zur Energie festgelegt werden. Hingegen sind Bestimmungen zu Solaranlagen nicht möglich, da diese abschliessend im kantonalen Recht bestimmt sind.</w:t>
      </w:r>
    </w:p>
  </w:endnote>
  <w:endnote w:id="8">
    <w:p w:rsidR="00EE6DCB" w:rsidRDefault="00EE6DCB" w:rsidP="0015645B">
      <w:pPr>
        <w:pStyle w:val="Endnotentext"/>
        <w:jc w:val="left"/>
      </w:pPr>
      <w:r>
        <w:rPr>
          <w:rStyle w:val="Endnotenzeichen"/>
        </w:rPr>
        <w:endnoteRef/>
      </w:r>
      <w:r>
        <w:t xml:space="preserve"> </w:t>
      </w:r>
      <w:r w:rsidRPr="00986B9F">
        <w:t>Grössere Abweichungen von der in der Quartierplanung definierten Gesamtkonzeption dürfen nur aufgrund einer Änderung der Quartierplanvorschriften erfolgen.</w:t>
      </w:r>
    </w:p>
  </w:endnote>
  <w:endnote w:id="9">
    <w:p w:rsidR="00EE6DCB" w:rsidRDefault="00EE6DCB" w:rsidP="0015645B">
      <w:pPr>
        <w:pStyle w:val="Endnotentext"/>
        <w:jc w:val="left"/>
      </w:pPr>
      <w:r>
        <w:rPr>
          <w:rStyle w:val="Endnotenzeichen"/>
        </w:rPr>
        <w:endnoteRef/>
      </w:r>
      <w:r>
        <w:t xml:space="preserve"> Das Erfordernis einer Baubewilligung von Bauten, Anlagen, Umgebungsgestaltung und deren Materialisierung ist in RBG und RBV abschliessend geregelt. Diese Regelungen können von der Gemeinde weder erweitert noch verschärft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23" w:rsidRDefault="00952D23" w:rsidP="000A7C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23" w:rsidRDefault="00952D23" w:rsidP="00127BD0">
      <w:r>
        <w:separator/>
      </w:r>
    </w:p>
  </w:footnote>
  <w:footnote w:type="continuationSeparator" w:id="0">
    <w:p w:rsidR="00952D23" w:rsidRDefault="00952D23" w:rsidP="00127BD0">
      <w:r>
        <w:continuationSeparator/>
      </w:r>
    </w:p>
  </w:footnote>
  <w:footnote w:type="continuationNotice" w:id="1">
    <w:p w:rsidR="00952D23" w:rsidRDefault="00952D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23" w:rsidRDefault="00952D23" w:rsidP="000A7C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09AF"/>
    <w:multiLevelType w:val="hybridMultilevel"/>
    <w:tmpl w:val="747AE050"/>
    <w:lvl w:ilvl="0" w:tplc="D6F29F26">
      <w:start w:val="1"/>
      <w:numFmt w:val="bullet"/>
      <w:lvlText w:val="-"/>
      <w:lvlJc w:val="left"/>
      <w:pPr>
        <w:ind w:left="360" w:hanging="360"/>
      </w:pPr>
      <w:rPr>
        <w:rFonts w:ascii="Times New Roman" w:hAnsi="Times New Roman" w:cs="Times New Roman"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6184A33"/>
    <w:multiLevelType w:val="hybridMultilevel"/>
    <w:tmpl w:val="851CEC7A"/>
    <w:lvl w:ilvl="0" w:tplc="D6F29F26">
      <w:start w:val="1"/>
      <w:numFmt w:val="bullet"/>
      <w:lvlText w:val="-"/>
      <w:lvlJc w:val="left"/>
      <w:pPr>
        <w:ind w:left="360" w:hanging="360"/>
      </w:pPr>
      <w:rPr>
        <w:rFonts w:ascii="Times New Roman" w:hAnsi="Times New Roman" w:cs="Times New Roman"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5ABE0523"/>
    <w:multiLevelType w:val="hybridMultilevel"/>
    <w:tmpl w:val="6388C48C"/>
    <w:lvl w:ilvl="0" w:tplc="CDCE079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684D0C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690E7D96"/>
    <w:multiLevelType w:val="hybridMultilevel"/>
    <w:tmpl w:val="525E542A"/>
    <w:lvl w:ilvl="0" w:tplc="CDCE0792">
      <w:start w:val="1"/>
      <w:numFmt w:val="bullet"/>
      <w:lvlText w:val="-"/>
      <w:lvlJc w:val="left"/>
      <w:pPr>
        <w:tabs>
          <w:tab w:val="num" w:pos="360"/>
        </w:tabs>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51B2"/>
    <w:rsid w:val="00047CCE"/>
    <w:rsid w:val="00050AE7"/>
    <w:rsid w:val="00054E41"/>
    <w:rsid w:val="00082317"/>
    <w:rsid w:val="0009605C"/>
    <w:rsid w:val="000A332E"/>
    <w:rsid w:val="000A7259"/>
    <w:rsid w:val="000A7CB6"/>
    <w:rsid w:val="000B3142"/>
    <w:rsid w:val="000B4D14"/>
    <w:rsid w:val="000B65EA"/>
    <w:rsid w:val="00101F23"/>
    <w:rsid w:val="0012676E"/>
    <w:rsid w:val="00127BD0"/>
    <w:rsid w:val="00151423"/>
    <w:rsid w:val="0015645B"/>
    <w:rsid w:val="0017496C"/>
    <w:rsid w:val="001B63A1"/>
    <w:rsid w:val="001C5A18"/>
    <w:rsid w:val="001E298B"/>
    <w:rsid w:val="001E67B8"/>
    <w:rsid w:val="002007FA"/>
    <w:rsid w:val="00201F94"/>
    <w:rsid w:val="00230EFD"/>
    <w:rsid w:val="00273A3F"/>
    <w:rsid w:val="00293D76"/>
    <w:rsid w:val="002F7E4C"/>
    <w:rsid w:val="0032319A"/>
    <w:rsid w:val="003257F1"/>
    <w:rsid w:val="0033694D"/>
    <w:rsid w:val="00344DCA"/>
    <w:rsid w:val="00344DE4"/>
    <w:rsid w:val="00375BE0"/>
    <w:rsid w:val="0038105B"/>
    <w:rsid w:val="00383B13"/>
    <w:rsid w:val="003A0E06"/>
    <w:rsid w:val="003B165A"/>
    <w:rsid w:val="003C270F"/>
    <w:rsid w:val="003D1BEB"/>
    <w:rsid w:val="003E0E2B"/>
    <w:rsid w:val="003E51B2"/>
    <w:rsid w:val="003F55EE"/>
    <w:rsid w:val="003F5819"/>
    <w:rsid w:val="00405B82"/>
    <w:rsid w:val="004160DB"/>
    <w:rsid w:val="00486542"/>
    <w:rsid w:val="00495442"/>
    <w:rsid w:val="004B2CF6"/>
    <w:rsid w:val="004C2A46"/>
    <w:rsid w:val="004D7A27"/>
    <w:rsid w:val="004E0980"/>
    <w:rsid w:val="004E3D0C"/>
    <w:rsid w:val="00551CA9"/>
    <w:rsid w:val="00590814"/>
    <w:rsid w:val="005B1547"/>
    <w:rsid w:val="005B1762"/>
    <w:rsid w:val="005C0845"/>
    <w:rsid w:val="005C099C"/>
    <w:rsid w:val="005C1433"/>
    <w:rsid w:val="005E781A"/>
    <w:rsid w:val="005F4E83"/>
    <w:rsid w:val="006005DD"/>
    <w:rsid w:val="00616E3B"/>
    <w:rsid w:val="0063426B"/>
    <w:rsid w:val="00646367"/>
    <w:rsid w:val="00650B29"/>
    <w:rsid w:val="006567E9"/>
    <w:rsid w:val="006A64ED"/>
    <w:rsid w:val="006B3C61"/>
    <w:rsid w:val="006F0EC5"/>
    <w:rsid w:val="006F4070"/>
    <w:rsid w:val="006F5B91"/>
    <w:rsid w:val="00705AC1"/>
    <w:rsid w:val="00715391"/>
    <w:rsid w:val="00735D9F"/>
    <w:rsid w:val="007910A0"/>
    <w:rsid w:val="007A02D8"/>
    <w:rsid w:val="007B22C9"/>
    <w:rsid w:val="007C2B96"/>
    <w:rsid w:val="007C5406"/>
    <w:rsid w:val="007D681B"/>
    <w:rsid w:val="007E2741"/>
    <w:rsid w:val="00846D61"/>
    <w:rsid w:val="0085658C"/>
    <w:rsid w:val="00860E3D"/>
    <w:rsid w:val="00860EB8"/>
    <w:rsid w:val="00871B4C"/>
    <w:rsid w:val="00895560"/>
    <w:rsid w:val="008A1228"/>
    <w:rsid w:val="008B1C2B"/>
    <w:rsid w:val="008C4F85"/>
    <w:rsid w:val="008C4FDD"/>
    <w:rsid w:val="008E46C1"/>
    <w:rsid w:val="00901AFE"/>
    <w:rsid w:val="0090409F"/>
    <w:rsid w:val="00912A6D"/>
    <w:rsid w:val="009152F2"/>
    <w:rsid w:val="0093391F"/>
    <w:rsid w:val="00937BA1"/>
    <w:rsid w:val="0094301E"/>
    <w:rsid w:val="009442C1"/>
    <w:rsid w:val="00952D23"/>
    <w:rsid w:val="00973435"/>
    <w:rsid w:val="00974DF5"/>
    <w:rsid w:val="009B22AF"/>
    <w:rsid w:val="00A42A41"/>
    <w:rsid w:val="00A82151"/>
    <w:rsid w:val="00A84E53"/>
    <w:rsid w:val="00A9644A"/>
    <w:rsid w:val="00AB0494"/>
    <w:rsid w:val="00AB1A46"/>
    <w:rsid w:val="00B3129E"/>
    <w:rsid w:val="00B704B9"/>
    <w:rsid w:val="00B83E2C"/>
    <w:rsid w:val="00BF3AA9"/>
    <w:rsid w:val="00C2027F"/>
    <w:rsid w:val="00C222F3"/>
    <w:rsid w:val="00C770F6"/>
    <w:rsid w:val="00C80F86"/>
    <w:rsid w:val="00C90CF0"/>
    <w:rsid w:val="00C93724"/>
    <w:rsid w:val="00C97E7F"/>
    <w:rsid w:val="00CC03AE"/>
    <w:rsid w:val="00CC2844"/>
    <w:rsid w:val="00CF54C0"/>
    <w:rsid w:val="00D07034"/>
    <w:rsid w:val="00D14654"/>
    <w:rsid w:val="00D16EE1"/>
    <w:rsid w:val="00D40E6B"/>
    <w:rsid w:val="00D50AA8"/>
    <w:rsid w:val="00D52AD3"/>
    <w:rsid w:val="00DB4EB3"/>
    <w:rsid w:val="00DC4C36"/>
    <w:rsid w:val="00DE4BED"/>
    <w:rsid w:val="00E00955"/>
    <w:rsid w:val="00E04AFD"/>
    <w:rsid w:val="00E068D4"/>
    <w:rsid w:val="00E322ED"/>
    <w:rsid w:val="00E43B1B"/>
    <w:rsid w:val="00E70291"/>
    <w:rsid w:val="00E86874"/>
    <w:rsid w:val="00EA7B05"/>
    <w:rsid w:val="00EB7575"/>
    <w:rsid w:val="00EE6DCB"/>
    <w:rsid w:val="00F126D9"/>
    <w:rsid w:val="00F13516"/>
    <w:rsid w:val="00F1425E"/>
    <w:rsid w:val="00F33B90"/>
    <w:rsid w:val="00F708CB"/>
    <w:rsid w:val="00F96C0C"/>
    <w:rsid w:val="00FD5E4C"/>
    <w:rsid w:val="00FE28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chn"/>
    <w:uiPriority w:val="9"/>
    <w:qFormat/>
    <w:rsid w:val="00DE4BED"/>
    <w:pPr>
      <w:outlineLvl w:val="0"/>
    </w:pPr>
    <w:rPr>
      <w:rFonts w:ascii="Arial" w:hAnsi="Arial"/>
      <w:b/>
    </w:rPr>
  </w:style>
  <w:style w:type="paragraph" w:styleId="berschrift2">
    <w:name w:val="heading 2"/>
    <w:basedOn w:val="Standard"/>
    <w:next w:val="Standard"/>
    <w:link w:val="berschrift2Zchn"/>
    <w:uiPriority w:val="9"/>
    <w:unhideWhenUsed/>
    <w:qFormat/>
    <w:rsid w:val="00DE4BED"/>
    <w:pPr>
      <w:spacing w:after="120"/>
      <w:outlineLvl w:val="1"/>
    </w:pPr>
    <w:rPr>
      <w:rFonts w:ascii="Arial" w:hAnsi="Arial"/>
      <w:b/>
    </w:rPr>
  </w:style>
  <w:style w:type="paragraph" w:styleId="berschrift3">
    <w:name w:val="heading 3"/>
    <w:basedOn w:val="Standard"/>
    <w:next w:val="Standard"/>
    <w:link w:val="berschrift3Zchn"/>
    <w:uiPriority w:val="9"/>
    <w:unhideWhenUsed/>
    <w:qFormat/>
    <w:rsid w:val="00DE4BE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567" w:right="567"/>
    </w:pPr>
  </w:style>
  <w:style w:type="paragraph" w:styleId="Sprechblasentext">
    <w:name w:val="Balloon Text"/>
    <w:basedOn w:val="Standard"/>
    <w:link w:val="SprechblasentextZchn"/>
    <w:uiPriority w:val="99"/>
    <w:semiHidden/>
    <w:unhideWhenUsed/>
    <w:rsid w:val="0085658C"/>
    <w:rPr>
      <w:rFonts w:ascii="Tahoma" w:hAnsi="Tahoma" w:cs="Tahoma"/>
      <w:sz w:val="16"/>
      <w:szCs w:val="16"/>
    </w:rPr>
  </w:style>
  <w:style w:type="character" w:customStyle="1" w:styleId="SprechblasentextZchn">
    <w:name w:val="Sprechblasentext Zchn"/>
    <w:link w:val="Sprechblasentext"/>
    <w:uiPriority w:val="99"/>
    <w:semiHidden/>
    <w:rsid w:val="0085658C"/>
    <w:rPr>
      <w:rFonts w:ascii="Tahoma" w:hAnsi="Tahoma" w:cs="Tahoma"/>
      <w:sz w:val="16"/>
      <w:szCs w:val="16"/>
    </w:rPr>
  </w:style>
  <w:style w:type="character" w:styleId="Kommentarzeichen">
    <w:name w:val="annotation reference"/>
    <w:uiPriority w:val="99"/>
    <w:semiHidden/>
    <w:unhideWhenUsed/>
    <w:rsid w:val="00860EB8"/>
    <w:rPr>
      <w:sz w:val="16"/>
      <w:szCs w:val="16"/>
    </w:rPr>
  </w:style>
  <w:style w:type="paragraph" w:styleId="Kommentartext">
    <w:name w:val="annotation text"/>
    <w:basedOn w:val="Standard"/>
    <w:link w:val="KommentartextZchn"/>
    <w:uiPriority w:val="99"/>
    <w:semiHidden/>
    <w:unhideWhenUsed/>
    <w:rsid w:val="00860EB8"/>
    <w:rPr>
      <w:sz w:val="20"/>
    </w:rPr>
  </w:style>
  <w:style w:type="character" w:customStyle="1" w:styleId="KommentartextZchn">
    <w:name w:val="Kommentartext Zchn"/>
    <w:basedOn w:val="Absatz-Standardschriftart"/>
    <w:link w:val="Kommentartext"/>
    <w:uiPriority w:val="99"/>
    <w:semiHidden/>
    <w:rsid w:val="00860EB8"/>
  </w:style>
  <w:style w:type="paragraph" w:styleId="Kommentarthema">
    <w:name w:val="annotation subject"/>
    <w:basedOn w:val="Kommentartext"/>
    <w:next w:val="Kommentartext"/>
    <w:link w:val="KommentarthemaZchn"/>
    <w:uiPriority w:val="99"/>
    <w:semiHidden/>
    <w:unhideWhenUsed/>
    <w:rsid w:val="00860EB8"/>
    <w:rPr>
      <w:b/>
      <w:bCs/>
    </w:rPr>
  </w:style>
  <w:style w:type="character" w:customStyle="1" w:styleId="KommentarthemaZchn">
    <w:name w:val="Kommentarthema Zchn"/>
    <w:link w:val="Kommentarthema"/>
    <w:uiPriority w:val="99"/>
    <w:semiHidden/>
    <w:rsid w:val="00860EB8"/>
    <w:rPr>
      <w:b/>
      <w:bCs/>
    </w:rPr>
  </w:style>
  <w:style w:type="paragraph" w:styleId="Funotentext">
    <w:name w:val="footnote text"/>
    <w:basedOn w:val="Standard"/>
    <w:link w:val="FunotentextZchn"/>
    <w:uiPriority w:val="99"/>
    <w:semiHidden/>
    <w:unhideWhenUsed/>
    <w:rsid w:val="00127BD0"/>
    <w:rPr>
      <w:sz w:val="20"/>
    </w:rPr>
  </w:style>
  <w:style w:type="character" w:customStyle="1" w:styleId="FunotentextZchn">
    <w:name w:val="Fußnotentext Zchn"/>
    <w:basedOn w:val="Absatz-Standardschriftart"/>
    <w:link w:val="Funotentext"/>
    <w:uiPriority w:val="99"/>
    <w:semiHidden/>
    <w:rsid w:val="00127BD0"/>
  </w:style>
  <w:style w:type="character" w:styleId="Funotenzeichen">
    <w:name w:val="footnote reference"/>
    <w:uiPriority w:val="99"/>
    <w:semiHidden/>
    <w:unhideWhenUsed/>
    <w:rsid w:val="00127BD0"/>
    <w:rPr>
      <w:vertAlign w:val="superscript"/>
    </w:rPr>
  </w:style>
  <w:style w:type="paragraph" w:styleId="berarbeitung">
    <w:name w:val="Revision"/>
    <w:hidden/>
    <w:uiPriority w:val="99"/>
    <w:semiHidden/>
    <w:rsid w:val="00CF54C0"/>
    <w:rPr>
      <w:sz w:val="24"/>
    </w:rPr>
  </w:style>
  <w:style w:type="character" w:customStyle="1" w:styleId="berschrift2Zchn">
    <w:name w:val="Überschrift 2 Zchn"/>
    <w:basedOn w:val="Absatz-Standardschriftart"/>
    <w:link w:val="berschrift2"/>
    <w:uiPriority w:val="9"/>
    <w:rsid w:val="00DE4BED"/>
    <w:rPr>
      <w:rFonts w:ascii="Arial" w:hAnsi="Arial"/>
      <w:b/>
      <w:sz w:val="24"/>
    </w:rPr>
  </w:style>
  <w:style w:type="character" w:customStyle="1" w:styleId="berschrift3Zchn">
    <w:name w:val="Überschrift 3 Zchn"/>
    <w:basedOn w:val="Absatz-Standardschriftart"/>
    <w:link w:val="berschrift3"/>
    <w:uiPriority w:val="9"/>
    <w:rsid w:val="00DE4BED"/>
    <w:rPr>
      <w:rFonts w:asciiTheme="majorHAnsi" w:eastAsiaTheme="majorEastAsia" w:hAnsiTheme="majorHAnsi" w:cstheme="majorBidi"/>
      <w:b/>
      <w:bCs/>
      <w:color w:val="4F81BD" w:themeColor="accent1"/>
      <w:sz w:val="24"/>
    </w:rPr>
  </w:style>
  <w:style w:type="character" w:customStyle="1" w:styleId="berschrift1Zchn">
    <w:name w:val="Überschrift 1 Zchn"/>
    <w:basedOn w:val="Absatz-Standardschriftart"/>
    <w:link w:val="berschrift1"/>
    <w:uiPriority w:val="9"/>
    <w:rsid w:val="00DE4BED"/>
    <w:rPr>
      <w:rFonts w:ascii="Arial" w:hAnsi="Arial"/>
      <w:b/>
      <w:sz w:val="24"/>
    </w:rPr>
  </w:style>
  <w:style w:type="paragraph" w:styleId="Kopfzeile">
    <w:name w:val="header"/>
    <w:basedOn w:val="Standard"/>
    <w:link w:val="KopfzeileZchn"/>
    <w:uiPriority w:val="99"/>
    <w:unhideWhenUsed/>
    <w:rsid w:val="00952D23"/>
    <w:pPr>
      <w:tabs>
        <w:tab w:val="center" w:pos="4536"/>
        <w:tab w:val="right" w:pos="9072"/>
      </w:tabs>
    </w:pPr>
  </w:style>
  <w:style w:type="character" w:customStyle="1" w:styleId="KopfzeileZchn">
    <w:name w:val="Kopfzeile Zchn"/>
    <w:basedOn w:val="Absatz-Standardschriftart"/>
    <w:link w:val="Kopfzeile"/>
    <w:uiPriority w:val="99"/>
    <w:rsid w:val="00952D23"/>
    <w:rPr>
      <w:sz w:val="24"/>
    </w:rPr>
  </w:style>
  <w:style w:type="paragraph" w:styleId="Fuzeile">
    <w:name w:val="footer"/>
    <w:basedOn w:val="Standard"/>
    <w:link w:val="FuzeileZchn"/>
    <w:uiPriority w:val="99"/>
    <w:unhideWhenUsed/>
    <w:rsid w:val="00952D23"/>
    <w:pPr>
      <w:tabs>
        <w:tab w:val="center" w:pos="4536"/>
        <w:tab w:val="right" w:pos="9072"/>
      </w:tabs>
    </w:pPr>
  </w:style>
  <w:style w:type="character" w:customStyle="1" w:styleId="FuzeileZchn">
    <w:name w:val="Fußzeile Zchn"/>
    <w:basedOn w:val="Absatz-Standardschriftart"/>
    <w:link w:val="Fuzeile"/>
    <w:uiPriority w:val="99"/>
    <w:rsid w:val="00952D23"/>
    <w:rPr>
      <w:sz w:val="24"/>
    </w:rPr>
  </w:style>
  <w:style w:type="paragraph" w:styleId="Endnotentext">
    <w:name w:val="endnote text"/>
    <w:basedOn w:val="Standard"/>
    <w:link w:val="EndnotentextZchn"/>
    <w:rsid w:val="00383B13"/>
    <w:pPr>
      <w:jc w:val="both"/>
    </w:pPr>
    <w:rPr>
      <w:rFonts w:ascii="Arial" w:eastAsia="Times New Roman" w:hAnsi="Arial"/>
      <w:sz w:val="20"/>
    </w:rPr>
  </w:style>
  <w:style w:type="character" w:customStyle="1" w:styleId="EndnotentextZchn">
    <w:name w:val="Endnotentext Zchn"/>
    <w:basedOn w:val="Absatz-Standardschriftart"/>
    <w:link w:val="Endnotentext"/>
    <w:rsid w:val="00383B13"/>
    <w:rPr>
      <w:rFonts w:ascii="Arial" w:eastAsia="Times New Roman" w:hAnsi="Arial"/>
    </w:rPr>
  </w:style>
  <w:style w:type="character" w:styleId="Endnotenzeichen">
    <w:name w:val="endnote reference"/>
    <w:basedOn w:val="Absatz-Standardschriftart"/>
    <w:rsid w:val="00383B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chn"/>
    <w:uiPriority w:val="9"/>
    <w:qFormat/>
    <w:rsid w:val="00DE4BED"/>
    <w:pPr>
      <w:outlineLvl w:val="0"/>
    </w:pPr>
    <w:rPr>
      <w:rFonts w:ascii="Arial" w:hAnsi="Arial"/>
      <w:b/>
    </w:rPr>
  </w:style>
  <w:style w:type="paragraph" w:styleId="berschrift2">
    <w:name w:val="heading 2"/>
    <w:basedOn w:val="Standard"/>
    <w:next w:val="Standard"/>
    <w:link w:val="berschrift2Zchn"/>
    <w:uiPriority w:val="9"/>
    <w:unhideWhenUsed/>
    <w:qFormat/>
    <w:rsid w:val="00DE4BED"/>
    <w:pPr>
      <w:spacing w:after="120"/>
      <w:outlineLvl w:val="1"/>
    </w:pPr>
    <w:rPr>
      <w:rFonts w:ascii="Arial" w:hAnsi="Arial"/>
      <w:b/>
    </w:rPr>
  </w:style>
  <w:style w:type="paragraph" w:styleId="berschrift3">
    <w:name w:val="heading 3"/>
    <w:basedOn w:val="Standard"/>
    <w:next w:val="Standard"/>
    <w:link w:val="berschrift3Zchn"/>
    <w:uiPriority w:val="9"/>
    <w:unhideWhenUsed/>
    <w:qFormat/>
    <w:rsid w:val="00DE4BE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567" w:right="567"/>
    </w:pPr>
  </w:style>
  <w:style w:type="paragraph" w:styleId="Sprechblasentext">
    <w:name w:val="Balloon Text"/>
    <w:basedOn w:val="Standard"/>
    <w:link w:val="SprechblasentextZchn"/>
    <w:uiPriority w:val="99"/>
    <w:semiHidden/>
    <w:unhideWhenUsed/>
    <w:rsid w:val="0085658C"/>
    <w:rPr>
      <w:rFonts w:ascii="Tahoma" w:hAnsi="Tahoma" w:cs="Tahoma"/>
      <w:sz w:val="16"/>
      <w:szCs w:val="16"/>
    </w:rPr>
  </w:style>
  <w:style w:type="character" w:customStyle="1" w:styleId="SprechblasentextZchn">
    <w:name w:val="Sprechblasentext Zchn"/>
    <w:link w:val="Sprechblasentext"/>
    <w:uiPriority w:val="99"/>
    <w:semiHidden/>
    <w:rsid w:val="0085658C"/>
    <w:rPr>
      <w:rFonts w:ascii="Tahoma" w:hAnsi="Tahoma" w:cs="Tahoma"/>
      <w:sz w:val="16"/>
      <w:szCs w:val="16"/>
    </w:rPr>
  </w:style>
  <w:style w:type="character" w:styleId="Kommentarzeichen">
    <w:name w:val="annotation reference"/>
    <w:uiPriority w:val="99"/>
    <w:semiHidden/>
    <w:unhideWhenUsed/>
    <w:rsid w:val="00860EB8"/>
    <w:rPr>
      <w:sz w:val="16"/>
      <w:szCs w:val="16"/>
    </w:rPr>
  </w:style>
  <w:style w:type="paragraph" w:styleId="Kommentartext">
    <w:name w:val="annotation text"/>
    <w:basedOn w:val="Standard"/>
    <w:link w:val="KommentartextZchn"/>
    <w:uiPriority w:val="99"/>
    <w:semiHidden/>
    <w:unhideWhenUsed/>
    <w:rsid w:val="00860EB8"/>
    <w:rPr>
      <w:sz w:val="20"/>
    </w:rPr>
  </w:style>
  <w:style w:type="character" w:customStyle="1" w:styleId="KommentartextZchn">
    <w:name w:val="Kommentartext Zchn"/>
    <w:basedOn w:val="Absatz-Standardschriftart"/>
    <w:link w:val="Kommentartext"/>
    <w:uiPriority w:val="99"/>
    <w:semiHidden/>
    <w:rsid w:val="00860EB8"/>
  </w:style>
  <w:style w:type="paragraph" w:styleId="Kommentarthema">
    <w:name w:val="annotation subject"/>
    <w:basedOn w:val="Kommentartext"/>
    <w:next w:val="Kommentartext"/>
    <w:link w:val="KommentarthemaZchn"/>
    <w:uiPriority w:val="99"/>
    <w:semiHidden/>
    <w:unhideWhenUsed/>
    <w:rsid w:val="00860EB8"/>
    <w:rPr>
      <w:b/>
      <w:bCs/>
    </w:rPr>
  </w:style>
  <w:style w:type="character" w:customStyle="1" w:styleId="KommentarthemaZchn">
    <w:name w:val="Kommentarthema Zchn"/>
    <w:link w:val="Kommentarthema"/>
    <w:uiPriority w:val="99"/>
    <w:semiHidden/>
    <w:rsid w:val="00860EB8"/>
    <w:rPr>
      <w:b/>
      <w:bCs/>
    </w:rPr>
  </w:style>
  <w:style w:type="paragraph" w:styleId="Funotentext">
    <w:name w:val="footnote text"/>
    <w:basedOn w:val="Standard"/>
    <w:link w:val="FunotentextZchn"/>
    <w:uiPriority w:val="99"/>
    <w:semiHidden/>
    <w:unhideWhenUsed/>
    <w:rsid w:val="00127BD0"/>
    <w:rPr>
      <w:sz w:val="20"/>
    </w:rPr>
  </w:style>
  <w:style w:type="character" w:customStyle="1" w:styleId="FunotentextZchn">
    <w:name w:val="Fußnotentext Zchn"/>
    <w:basedOn w:val="Absatz-Standardschriftart"/>
    <w:link w:val="Funotentext"/>
    <w:uiPriority w:val="99"/>
    <w:semiHidden/>
    <w:rsid w:val="00127BD0"/>
  </w:style>
  <w:style w:type="character" w:styleId="Funotenzeichen">
    <w:name w:val="footnote reference"/>
    <w:uiPriority w:val="99"/>
    <w:semiHidden/>
    <w:unhideWhenUsed/>
    <w:rsid w:val="00127BD0"/>
    <w:rPr>
      <w:vertAlign w:val="superscript"/>
    </w:rPr>
  </w:style>
  <w:style w:type="paragraph" w:styleId="berarbeitung">
    <w:name w:val="Revision"/>
    <w:hidden/>
    <w:uiPriority w:val="99"/>
    <w:semiHidden/>
    <w:rsid w:val="00CF54C0"/>
    <w:rPr>
      <w:sz w:val="24"/>
    </w:rPr>
  </w:style>
  <w:style w:type="character" w:customStyle="1" w:styleId="berschrift2Zchn">
    <w:name w:val="Überschrift 2 Zchn"/>
    <w:basedOn w:val="Absatz-Standardschriftart"/>
    <w:link w:val="berschrift2"/>
    <w:uiPriority w:val="9"/>
    <w:rsid w:val="00DE4BED"/>
    <w:rPr>
      <w:rFonts w:ascii="Arial" w:hAnsi="Arial"/>
      <w:b/>
      <w:sz w:val="24"/>
    </w:rPr>
  </w:style>
  <w:style w:type="character" w:customStyle="1" w:styleId="berschrift3Zchn">
    <w:name w:val="Überschrift 3 Zchn"/>
    <w:basedOn w:val="Absatz-Standardschriftart"/>
    <w:link w:val="berschrift3"/>
    <w:uiPriority w:val="9"/>
    <w:rsid w:val="00DE4BED"/>
    <w:rPr>
      <w:rFonts w:asciiTheme="majorHAnsi" w:eastAsiaTheme="majorEastAsia" w:hAnsiTheme="majorHAnsi" w:cstheme="majorBidi"/>
      <w:b/>
      <w:bCs/>
      <w:color w:val="4F81BD" w:themeColor="accent1"/>
      <w:sz w:val="24"/>
    </w:rPr>
  </w:style>
  <w:style w:type="character" w:customStyle="1" w:styleId="berschrift1Zchn">
    <w:name w:val="Überschrift 1 Zchn"/>
    <w:basedOn w:val="Absatz-Standardschriftart"/>
    <w:link w:val="berschrift1"/>
    <w:uiPriority w:val="9"/>
    <w:rsid w:val="00DE4BED"/>
    <w:rPr>
      <w:rFonts w:ascii="Arial" w:hAnsi="Arial"/>
      <w:b/>
      <w:sz w:val="24"/>
    </w:rPr>
  </w:style>
  <w:style w:type="paragraph" w:styleId="Kopfzeile">
    <w:name w:val="header"/>
    <w:basedOn w:val="Standard"/>
    <w:link w:val="KopfzeileZchn"/>
    <w:uiPriority w:val="99"/>
    <w:unhideWhenUsed/>
    <w:rsid w:val="00952D23"/>
    <w:pPr>
      <w:tabs>
        <w:tab w:val="center" w:pos="4536"/>
        <w:tab w:val="right" w:pos="9072"/>
      </w:tabs>
    </w:pPr>
  </w:style>
  <w:style w:type="character" w:customStyle="1" w:styleId="KopfzeileZchn">
    <w:name w:val="Kopfzeile Zchn"/>
    <w:basedOn w:val="Absatz-Standardschriftart"/>
    <w:link w:val="Kopfzeile"/>
    <w:uiPriority w:val="99"/>
    <w:rsid w:val="00952D23"/>
    <w:rPr>
      <w:sz w:val="24"/>
    </w:rPr>
  </w:style>
  <w:style w:type="paragraph" w:styleId="Fuzeile">
    <w:name w:val="footer"/>
    <w:basedOn w:val="Standard"/>
    <w:link w:val="FuzeileZchn"/>
    <w:uiPriority w:val="99"/>
    <w:unhideWhenUsed/>
    <w:rsid w:val="00952D23"/>
    <w:pPr>
      <w:tabs>
        <w:tab w:val="center" w:pos="4536"/>
        <w:tab w:val="right" w:pos="9072"/>
      </w:tabs>
    </w:pPr>
  </w:style>
  <w:style w:type="character" w:customStyle="1" w:styleId="FuzeileZchn">
    <w:name w:val="Fußzeile Zchn"/>
    <w:basedOn w:val="Absatz-Standardschriftart"/>
    <w:link w:val="Fuzeile"/>
    <w:uiPriority w:val="99"/>
    <w:rsid w:val="00952D23"/>
    <w:rPr>
      <w:sz w:val="24"/>
    </w:rPr>
  </w:style>
  <w:style w:type="paragraph" w:styleId="Endnotentext">
    <w:name w:val="endnote text"/>
    <w:basedOn w:val="Standard"/>
    <w:link w:val="EndnotentextZchn"/>
    <w:rsid w:val="00383B13"/>
    <w:pPr>
      <w:jc w:val="both"/>
    </w:pPr>
    <w:rPr>
      <w:rFonts w:ascii="Arial" w:eastAsia="Times New Roman" w:hAnsi="Arial"/>
      <w:sz w:val="20"/>
    </w:rPr>
  </w:style>
  <w:style w:type="character" w:customStyle="1" w:styleId="EndnotentextZchn">
    <w:name w:val="Endnotentext Zchn"/>
    <w:basedOn w:val="Absatz-Standardschriftart"/>
    <w:link w:val="Endnotentext"/>
    <w:rsid w:val="00383B13"/>
    <w:rPr>
      <w:rFonts w:ascii="Arial" w:eastAsia="Times New Roman" w:hAnsi="Arial"/>
    </w:rPr>
  </w:style>
  <w:style w:type="character" w:styleId="Endnotenzeichen">
    <w:name w:val="endnote reference"/>
    <w:basedOn w:val="Absatz-Standardschriftart"/>
    <w:rsid w:val="00383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C922-A22D-4D20-9434-14F2C599C946}">
  <ds:schemaRefs>
    <ds:schemaRef ds:uri="http://schemas.openxmlformats.org/officeDocument/2006/bibliography"/>
  </ds:schemaRefs>
</ds:datastoreItem>
</file>

<file path=customXml/itemProps2.xml><?xml version="1.0" encoding="utf-8"?>
<ds:datastoreItem xmlns:ds="http://schemas.openxmlformats.org/officeDocument/2006/customXml" ds:itemID="{1BA7823D-335C-4D68-8B3E-252BEF20539A}">
  <ds:schemaRefs>
    <ds:schemaRef ds:uri="http://schemas.openxmlformats.org/officeDocument/2006/bibliography"/>
  </ds:schemaRefs>
</ds:datastoreItem>
</file>

<file path=customXml/itemProps3.xml><?xml version="1.0" encoding="utf-8"?>
<ds:datastoreItem xmlns:ds="http://schemas.openxmlformats.org/officeDocument/2006/customXml" ds:itemID="{AEDCBB8A-4E1F-4E04-88B6-5707964E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634164CB.dotm</Template>
  <TotalTime>0</TotalTime>
  <Pages>5</Pages>
  <Words>1142</Words>
  <Characters>7569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Musterbestimmungen Teilzonenreglement Ortskern</vt:lpstr>
    </vt:vector>
  </TitlesOfParts>
  <Company>Kantonale Verwaltungen BL</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Musterbestimmungen Teilzonenreglement Ortskern</dc:title>
  <dc:creator>ARP/OP</dc:creator>
  <cp:lastModifiedBy>Stucki, Oliver BUD</cp:lastModifiedBy>
  <cp:revision>2021</cp:revision>
  <cp:lastPrinted>2015-07-23T11:57:00Z</cp:lastPrinted>
  <dcterms:created xsi:type="dcterms:W3CDTF">2015-06-01T13:55:00Z</dcterms:created>
  <dcterms:modified xsi:type="dcterms:W3CDTF">2016-02-03T12:51:00Z</dcterms:modified>
</cp:coreProperties>
</file>

<file path=docProps/custom.xml><?xml version="1.0" encoding="utf-8"?>
<Properties xmlns="http://schemas.openxmlformats.org/officeDocument/2006/custom-properties" xmlns:vt="http://schemas.openxmlformats.org/officeDocument/2006/docPropsVTypes"/>
</file>